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38E53">
      <w:pPr>
        <w:jc w:val="center"/>
        <w:rPr>
          <w:rFonts w:hint="default"/>
          <w:lang w:val="ru-RU"/>
        </w:rPr>
      </w:pPr>
      <w:r>
        <w:rPr>
          <w:rFonts w:hint="default"/>
          <w:b/>
          <w:sz w:val="24"/>
          <w:lang w:val="ru-RU"/>
        </w:rPr>
        <w:t xml:space="preserve">Техническая специифкация </w:t>
      </w:r>
      <w:r>
        <w:rPr>
          <w:b/>
          <w:sz w:val="24"/>
        </w:rPr>
        <w:t>на</w:t>
      </w:r>
      <w:r>
        <w:rPr>
          <w:rFonts w:hint="default"/>
          <w:b/>
          <w:sz w:val="24"/>
          <w:lang w:val="ru-RU"/>
        </w:rPr>
        <w:t xml:space="preserve"> к</w:t>
      </w:r>
      <w:r>
        <w:rPr>
          <w:rFonts w:hint="default"/>
          <w:b/>
          <w:sz w:val="24"/>
        </w:rPr>
        <w:t>апитальный  ремонт двигателя  автобуса КГУ«Общеобразовательная школа села Турген отдела образования по Аршалынскому району управления образования Акмолинской области»</w:t>
      </w:r>
    </w:p>
    <w:p w14:paraId="09232D66">
      <w:pPr>
        <w:rPr>
          <w:rFonts w:hint="default"/>
          <w:lang w:val="en-US"/>
        </w:rPr>
      </w:pPr>
      <w:r>
        <w:t xml:space="preserve">Заказчик: </w:t>
      </w:r>
      <w:r>
        <w:rPr>
          <w:lang w:val="ru-RU"/>
        </w:rPr>
        <w:t>ГУ</w:t>
      </w:r>
      <w:r>
        <w:rPr>
          <w:rFonts w:hint="default"/>
          <w:lang w:val="ru-RU"/>
        </w:rPr>
        <w:t xml:space="preserve"> </w:t>
      </w:r>
      <w:r>
        <w:rPr>
          <w:rFonts w:hint="default"/>
        </w:rPr>
        <w:t xml:space="preserve">«Отдел образования по Аршалынскому району управления образования Акмолинской области» </w:t>
      </w:r>
      <w:r>
        <w:t xml:space="preserve">Автобус: ПАЗ </w:t>
      </w:r>
      <w:r>
        <w:rPr>
          <w:rFonts w:hint="default"/>
        </w:rPr>
        <w:t xml:space="preserve">-320540-02 </w:t>
      </w:r>
      <w:r>
        <w:t xml:space="preserve">  Государственный номер: </w:t>
      </w:r>
      <w:r>
        <w:rPr>
          <w:rFonts w:hint="default"/>
        </w:rPr>
        <w:t>867</w:t>
      </w:r>
      <w:r>
        <w:rPr>
          <w:rFonts w:hint="default"/>
          <w:lang w:val="en-US"/>
        </w:rPr>
        <w:t xml:space="preserve"> AH 03</w:t>
      </w:r>
    </w:p>
    <w:p w14:paraId="1A2CF6B7">
      <w:r>
        <w:t>Двигатель: ЗМЗ-5245.10, бензиновый, 8-цилиндровый</w:t>
      </w:r>
    </w:p>
    <w:p w14:paraId="320CD473">
      <w:r>
        <w:t>Место нахождения автобуса: посёлок Турген, Акмолинская область.</w:t>
      </w:r>
    </w:p>
    <w:p w14:paraId="3E495DEF">
      <w:pPr>
        <w:pStyle w:val="3"/>
        <w:rPr>
          <w:rFonts w:hint="default"/>
          <w:lang w:val="ru-RU"/>
        </w:rPr>
      </w:pPr>
      <w:r>
        <w:t>Перечень работ и запасных частей</w:t>
      </w:r>
      <w:r>
        <w:rPr>
          <w:rFonts w:hint="default"/>
          <w:lang w:val="ru-RU"/>
        </w:rPr>
        <w:t>/Жұмыстар мен қосалқы бөлшектердің тізбесі</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3652"/>
        <w:gridCol w:w="1710"/>
        <w:gridCol w:w="1709"/>
      </w:tblGrid>
      <w:tr w14:paraId="4ED4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51D43CDD">
            <w:pPr>
              <w:spacing w:after="0" w:line="240" w:lineRule="auto"/>
            </w:pPr>
            <w:r>
              <w:t>№</w:t>
            </w:r>
          </w:p>
        </w:tc>
        <w:tc>
          <w:tcPr>
            <w:tcW w:w="1984" w:type="dxa"/>
          </w:tcPr>
          <w:p w14:paraId="20904CC8">
            <w:pPr>
              <w:spacing w:after="0" w:line="240" w:lineRule="auto"/>
              <w:rPr>
                <w:rFonts w:hint="default"/>
                <w:lang w:val="kk-KZ"/>
              </w:rPr>
            </w:pPr>
            <w:r>
              <w:t>Наименование работ/запчастей</w:t>
            </w:r>
            <w:r>
              <w:rPr>
                <w:rFonts w:hint="default"/>
                <w:lang w:val="kk-KZ"/>
              </w:rPr>
              <w:t>/Жұмыстардың/қосалқы бөлшектердің атауы</w:t>
            </w:r>
          </w:p>
        </w:tc>
        <w:tc>
          <w:tcPr>
            <w:tcW w:w="1710" w:type="dxa"/>
          </w:tcPr>
          <w:p w14:paraId="6DBF667F">
            <w:pPr>
              <w:spacing w:after="0" w:line="240" w:lineRule="auto"/>
              <w:rPr>
                <w:rFonts w:hint="default"/>
                <w:lang w:val="kk-KZ"/>
              </w:rPr>
            </w:pPr>
            <w:r>
              <w:t>Ед.</w:t>
            </w:r>
            <w:r>
              <w:rPr>
                <w:rFonts w:hint="default"/>
                <w:lang w:val="ru-RU"/>
              </w:rPr>
              <w:t>/б</w:t>
            </w:r>
            <w:r>
              <w:rPr>
                <w:rFonts w:hint="default"/>
                <w:lang w:val="kk-KZ"/>
              </w:rPr>
              <w:t>ір</w:t>
            </w:r>
          </w:p>
        </w:tc>
        <w:tc>
          <w:tcPr>
            <w:tcW w:w="1709" w:type="dxa"/>
          </w:tcPr>
          <w:p w14:paraId="4D9196F1">
            <w:pPr>
              <w:spacing w:after="0" w:line="240" w:lineRule="auto"/>
              <w:rPr>
                <w:rFonts w:hint="default"/>
                <w:lang w:val="ru-RU"/>
              </w:rPr>
            </w:pPr>
            <w:r>
              <w:t>Кол-во</w:t>
            </w:r>
            <w:r>
              <w:rPr>
                <w:rFonts w:hint="default"/>
                <w:lang w:val="ru-RU"/>
              </w:rPr>
              <w:t>/саны</w:t>
            </w:r>
          </w:p>
        </w:tc>
      </w:tr>
      <w:tr w14:paraId="330D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56753F6F">
            <w:pPr>
              <w:spacing w:after="0" w:line="240" w:lineRule="auto"/>
            </w:pPr>
            <w:r>
              <w:t>1</w:t>
            </w:r>
          </w:p>
        </w:tc>
        <w:tc>
          <w:tcPr>
            <w:tcW w:w="1984" w:type="dxa"/>
            <w:vAlign w:val="center"/>
          </w:tcPr>
          <w:p w14:paraId="7F4BB70D">
            <w:pPr>
              <w:spacing w:after="0" w:line="240" w:lineRule="auto"/>
            </w:pPr>
            <w:r>
              <w:t>Демонтаж/монтаж двигателя, разборка, сборка и капитальный ремонт</w:t>
            </w:r>
          </w:p>
        </w:tc>
        <w:tc>
          <w:tcPr>
            <w:tcW w:w="1710" w:type="dxa"/>
            <w:vAlign w:val="center"/>
          </w:tcPr>
          <w:p w14:paraId="2CAFC077">
            <w:pPr>
              <w:spacing w:after="0" w:line="240" w:lineRule="auto"/>
            </w:pPr>
            <w:r>
              <w:t>услуга</w:t>
            </w:r>
          </w:p>
        </w:tc>
        <w:tc>
          <w:tcPr>
            <w:tcW w:w="1709" w:type="dxa"/>
            <w:vAlign w:val="center"/>
          </w:tcPr>
          <w:p w14:paraId="6D9C0846">
            <w:pPr>
              <w:spacing w:after="0" w:line="240" w:lineRule="auto"/>
            </w:pPr>
            <w:r>
              <w:t>1</w:t>
            </w:r>
          </w:p>
        </w:tc>
      </w:tr>
      <w:tr w14:paraId="7B3DD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2CE29533">
            <w:pPr>
              <w:spacing w:after="0" w:line="240" w:lineRule="auto"/>
            </w:pPr>
            <w:r>
              <w:t>2</w:t>
            </w:r>
          </w:p>
        </w:tc>
        <w:tc>
          <w:tcPr>
            <w:tcW w:w="1984" w:type="dxa"/>
            <w:vAlign w:val="center"/>
          </w:tcPr>
          <w:p w14:paraId="695BABA3">
            <w:pPr>
              <w:spacing w:after="0" w:line="240" w:lineRule="auto"/>
            </w:pPr>
            <w:r>
              <w:t>Дефектовка, измерения и диагностика двигателя</w:t>
            </w:r>
          </w:p>
        </w:tc>
        <w:tc>
          <w:tcPr>
            <w:tcW w:w="1710" w:type="dxa"/>
            <w:vAlign w:val="center"/>
          </w:tcPr>
          <w:p w14:paraId="4C002186">
            <w:pPr>
              <w:spacing w:after="0" w:line="240" w:lineRule="auto"/>
            </w:pPr>
            <w:r>
              <w:t>услуга</w:t>
            </w:r>
          </w:p>
        </w:tc>
        <w:tc>
          <w:tcPr>
            <w:tcW w:w="1709" w:type="dxa"/>
            <w:vAlign w:val="center"/>
          </w:tcPr>
          <w:p w14:paraId="1516E707">
            <w:pPr>
              <w:spacing w:after="0" w:line="240" w:lineRule="auto"/>
            </w:pPr>
            <w:r>
              <w:t>1</w:t>
            </w:r>
          </w:p>
        </w:tc>
      </w:tr>
      <w:tr w14:paraId="033C8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6F88C100">
            <w:pPr>
              <w:spacing w:after="0" w:line="240" w:lineRule="auto"/>
            </w:pPr>
            <w:r>
              <w:t>3</w:t>
            </w:r>
          </w:p>
        </w:tc>
        <w:tc>
          <w:tcPr>
            <w:tcW w:w="1984" w:type="dxa"/>
            <w:vAlign w:val="center"/>
          </w:tcPr>
          <w:p w14:paraId="033E77D9">
            <w:pPr>
              <w:spacing w:after="0" w:line="240" w:lineRule="auto"/>
            </w:pPr>
            <w:r>
              <w:t>Головка блока цилиндров (ГБЦ), новая</w:t>
            </w:r>
          </w:p>
        </w:tc>
        <w:tc>
          <w:tcPr>
            <w:tcW w:w="1710" w:type="dxa"/>
            <w:vAlign w:val="center"/>
          </w:tcPr>
          <w:p w14:paraId="10DD4172">
            <w:pPr>
              <w:spacing w:after="0" w:line="240" w:lineRule="auto"/>
            </w:pPr>
            <w:r>
              <w:t>шт.</w:t>
            </w:r>
          </w:p>
        </w:tc>
        <w:tc>
          <w:tcPr>
            <w:tcW w:w="1709" w:type="dxa"/>
            <w:vAlign w:val="center"/>
          </w:tcPr>
          <w:p w14:paraId="437863B9">
            <w:pPr>
              <w:spacing w:after="0" w:line="240" w:lineRule="auto"/>
            </w:pPr>
            <w:r>
              <w:t>2</w:t>
            </w:r>
          </w:p>
        </w:tc>
      </w:tr>
      <w:tr w14:paraId="1A296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6F1A6BFA">
            <w:pPr>
              <w:spacing w:after="0" w:line="240" w:lineRule="auto"/>
            </w:pPr>
            <w:r>
              <w:t>4</w:t>
            </w:r>
          </w:p>
        </w:tc>
        <w:tc>
          <w:tcPr>
            <w:tcW w:w="1984" w:type="dxa"/>
            <w:vAlign w:val="center"/>
          </w:tcPr>
          <w:p w14:paraId="6F01D804">
            <w:pPr>
              <w:spacing w:after="0" w:line="240" w:lineRule="auto"/>
            </w:pPr>
            <w:r>
              <w:t>Гильза цилиндра</w:t>
            </w:r>
          </w:p>
        </w:tc>
        <w:tc>
          <w:tcPr>
            <w:tcW w:w="1710" w:type="dxa"/>
            <w:vAlign w:val="center"/>
          </w:tcPr>
          <w:p w14:paraId="7D475724">
            <w:pPr>
              <w:spacing w:after="0" w:line="240" w:lineRule="auto"/>
            </w:pPr>
            <w:r>
              <w:t>шт.</w:t>
            </w:r>
          </w:p>
        </w:tc>
        <w:tc>
          <w:tcPr>
            <w:tcW w:w="1709" w:type="dxa"/>
            <w:vAlign w:val="center"/>
          </w:tcPr>
          <w:p w14:paraId="2F6AA18C">
            <w:pPr>
              <w:spacing w:after="0" w:line="240" w:lineRule="auto"/>
            </w:pPr>
            <w:r>
              <w:t>8</w:t>
            </w:r>
          </w:p>
        </w:tc>
      </w:tr>
      <w:tr w14:paraId="75E0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7BA0AB3D">
            <w:pPr>
              <w:spacing w:after="0" w:line="240" w:lineRule="auto"/>
            </w:pPr>
            <w:r>
              <w:t>5</w:t>
            </w:r>
          </w:p>
        </w:tc>
        <w:tc>
          <w:tcPr>
            <w:tcW w:w="1984" w:type="dxa"/>
            <w:vAlign w:val="center"/>
          </w:tcPr>
          <w:p w14:paraId="7BB76FC6">
            <w:pPr>
              <w:spacing w:after="0" w:line="240" w:lineRule="auto"/>
            </w:pPr>
            <w:r>
              <w:t>Поршень с поршневыми кольцами</w:t>
            </w:r>
          </w:p>
        </w:tc>
        <w:tc>
          <w:tcPr>
            <w:tcW w:w="1710" w:type="dxa"/>
            <w:vAlign w:val="center"/>
          </w:tcPr>
          <w:p w14:paraId="10966CE3">
            <w:pPr>
              <w:spacing w:after="0" w:line="240" w:lineRule="auto"/>
            </w:pPr>
            <w:r>
              <w:t>компл.</w:t>
            </w:r>
          </w:p>
        </w:tc>
        <w:tc>
          <w:tcPr>
            <w:tcW w:w="1709" w:type="dxa"/>
            <w:vAlign w:val="center"/>
          </w:tcPr>
          <w:p w14:paraId="527AC5C8">
            <w:pPr>
              <w:spacing w:after="0" w:line="240" w:lineRule="auto"/>
            </w:pPr>
            <w:r>
              <w:t>8</w:t>
            </w:r>
          </w:p>
        </w:tc>
      </w:tr>
      <w:tr w14:paraId="1D40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240F88B9">
            <w:pPr>
              <w:spacing w:after="0" w:line="240" w:lineRule="auto"/>
            </w:pPr>
            <w:r>
              <w:t>6</w:t>
            </w:r>
          </w:p>
        </w:tc>
        <w:tc>
          <w:tcPr>
            <w:tcW w:w="1984" w:type="dxa"/>
            <w:vAlign w:val="center"/>
          </w:tcPr>
          <w:p w14:paraId="1F1F3BF2">
            <w:pPr>
              <w:spacing w:after="0" w:line="240" w:lineRule="auto"/>
            </w:pPr>
            <w:r>
              <w:t>Комплект коренных вкладышей</w:t>
            </w:r>
          </w:p>
        </w:tc>
        <w:tc>
          <w:tcPr>
            <w:tcW w:w="1710" w:type="dxa"/>
            <w:vAlign w:val="center"/>
          </w:tcPr>
          <w:p w14:paraId="0B34307A">
            <w:pPr>
              <w:spacing w:after="0" w:line="240" w:lineRule="auto"/>
            </w:pPr>
            <w:r>
              <w:t>компл.</w:t>
            </w:r>
          </w:p>
        </w:tc>
        <w:tc>
          <w:tcPr>
            <w:tcW w:w="1709" w:type="dxa"/>
            <w:vAlign w:val="center"/>
          </w:tcPr>
          <w:p w14:paraId="6C5CEA7C">
            <w:pPr>
              <w:spacing w:after="0" w:line="240" w:lineRule="auto"/>
            </w:pPr>
            <w:r>
              <w:t>1</w:t>
            </w:r>
          </w:p>
        </w:tc>
      </w:tr>
      <w:tr w14:paraId="1E83B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1F4279BA">
            <w:pPr>
              <w:spacing w:after="0" w:line="240" w:lineRule="auto"/>
            </w:pPr>
            <w:r>
              <w:t>7</w:t>
            </w:r>
          </w:p>
        </w:tc>
        <w:tc>
          <w:tcPr>
            <w:tcW w:w="1984" w:type="dxa"/>
            <w:vAlign w:val="center"/>
          </w:tcPr>
          <w:p w14:paraId="78B1ED76">
            <w:pPr>
              <w:spacing w:after="0" w:line="240" w:lineRule="auto"/>
            </w:pPr>
            <w:r>
              <w:t>Комплект шатунных вкладышей</w:t>
            </w:r>
          </w:p>
        </w:tc>
        <w:tc>
          <w:tcPr>
            <w:tcW w:w="1710" w:type="dxa"/>
            <w:vAlign w:val="center"/>
          </w:tcPr>
          <w:p w14:paraId="002EE7E6">
            <w:pPr>
              <w:spacing w:after="0" w:line="240" w:lineRule="auto"/>
            </w:pPr>
            <w:r>
              <w:t>компл.</w:t>
            </w:r>
          </w:p>
        </w:tc>
        <w:tc>
          <w:tcPr>
            <w:tcW w:w="1709" w:type="dxa"/>
            <w:vAlign w:val="center"/>
          </w:tcPr>
          <w:p w14:paraId="3FBDE93B">
            <w:pPr>
              <w:spacing w:after="0" w:line="240" w:lineRule="auto"/>
            </w:pPr>
            <w:r>
              <w:t>1</w:t>
            </w:r>
          </w:p>
        </w:tc>
      </w:tr>
      <w:tr w14:paraId="03B8C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30225B5F">
            <w:pPr>
              <w:spacing w:after="0" w:line="240" w:lineRule="auto"/>
            </w:pPr>
            <w:r>
              <w:t>8</w:t>
            </w:r>
          </w:p>
        </w:tc>
        <w:tc>
          <w:tcPr>
            <w:tcW w:w="1984" w:type="dxa"/>
            <w:vAlign w:val="center"/>
          </w:tcPr>
          <w:p w14:paraId="286E8B52">
            <w:pPr>
              <w:spacing w:after="0" w:line="240" w:lineRule="auto"/>
            </w:pPr>
            <w:r>
              <w:t>Комплект прокладок и уплотнений двигателя</w:t>
            </w:r>
          </w:p>
        </w:tc>
        <w:tc>
          <w:tcPr>
            <w:tcW w:w="1710" w:type="dxa"/>
            <w:vAlign w:val="center"/>
          </w:tcPr>
          <w:p w14:paraId="3A62F9A2">
            <w:pPr>
              <w:spacing w:after="0" w:line="240" w:lineRule="auto"/>
            </w:pPr>
            <w:r>
              <w:t>компл.</w:t>
            </w:r>
          </w:p>
        </w:tc>
        <w:tc>
          <w:tcPr>
            <w:tcW w:w="1709" w:type="dxa"/>
            <w:vAlign w:val="center"/>
          </w:tcPr>
          <w:p w14:paraId="5DB851D7">
            <w:pPr>
              <w:spacing w:after="0" w:line="240" w:lineRule="auto"/>
            </w:pPr>
            <w:r>
              <w:t>1</w:t>
            </w:r>
          </w:p>
        </w:tc>
      </w:tr>
      <w:tr w14:paraId="7D563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6C398F6A">
            <w:pPr>
              <w:spacing w:after="0" w:line="240" w:lineRule="auto"/>
            </w:pPr>
            <w:r>
              <w:t>9</w:t>
            </w:r>
          </w:p>
        </w:tc>
        <w:tc>
          <w:tcPr>
            <w:tcW w:w="1984" w:type="dxa"/>
            <w:vAlign w:val="center"/>
          </w:tcPr>
          <w:p w14:paraId="5EDA4F4A">
            <w:pPr>
              <w:spacing w:after="0" w:line="240" w:lineRule="auto"/>
            </w:pPr>
            <w:r>
              <w:t>Топливная форсунка новая, оригинальная, совместимая с двигателем</w:t>
            </w:r>
          </w:p>
        </w:tc>
        <w:tc>
          <w:tcPr>
            <w:tcW w:w="1710" w:type="dxa"/>
            <w:vAlign w:val="center"/>
          </w:tcPr>
          <w:p w14:paraId="61638B6F">
            <w:pPr>
              <w:spacing w:after="0" w:line="240" w:lineRule="auto"/>
            </w:pPr>
            <w:r>
              <w:t>шт.</w:t>
            </w:r>
          </w:p>
        </w:tc>
        <w:tc>
          <w:tcPr>
            <w:tcW w:w="1709" w:type="dxa"/>
            <w:vAlign w:val="center"/>
          </w:tcPr>
          <w:p w14:paraId="1E915FC7">
            <w:pPr>
              <w:spacing w:after="0" w:line="240" w:lineRule="auto"/>
            </w:pPr>
            <w:r>
              <w:t>8</w:t>
            </w:r>
          </w:p>
        </w:tc>
      </w:tr>
      <w:tr w14:paraId="249F5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75B9DE7A">
            <w:pPr>
              <w:spacing w:after="0" w:line="240" w:lineRule="auto"/>
            </w:pPr>
            <w:r>
              <w:t>10</w:t>
            </w:r>
          </w:p>
        </w:tc>
        <w:tc>
          <w:tcPr>
            <w:tcW w:w="1984" w:type="dxa"/>
            <w:vAlign w:val="center"/>
          </w:tcPr>
          <w:p w14:paraId="698884B3">
            <w:pPr>
              <w:spacing w:after="0" w:line="240" w:lineRule="auto"/>
            </w:pPr>
            <w:r>
              <w:t>Промывка системы охлаждения и радиатора</w:t>
            </w:r>
          </w:p>
        </w:tc>
        <w:tc>
          <w:tcPr>
            <w:tcW w:w="1710" w:type="dxa"/>
            <w:vAlign w:val="center"/>
          </w:tcPr>
          <w:p w14:paraId="373AF8C0">
            <w:pPr>
              <w:spacing w:after="0" w:line="240" w:lineRule="auto"/>
            </w:pPr>
            <w:r>
              <w:t>услуга</w:t>
            </w:r>
          </w:p>
        </w:tc>
        <w:tc>
          <w:tcPr>
            <w:tcW w:w="1709" w:type="dxa"/>
            <w:vAlign w:val="center"/>
          </w:tcPr>
          <w:p w14:paraId="4C7DF84F">
            <w:pPr>
              <w:spacing w:after="0" w:line="240" w:lineRule="auto"/>
            </w:pPr>
            <w:r>
              <w:t>1</w:t>
            </w:r>
          </w:p>
        </w:tc>
      </w:tr>
      <w:tr w14:paraId="01B9D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65CF813E">
            <w:pPr>
              <w:spacing w:after="0" w:line="240" w:lineRule="auto"/>
            </w:pPr>
            <w:r>
              <w:t>11</w:t>
            </w:r>
          </w:p>
        </w:tc>
        <w:tc>
          <w:tcPr>
            <w:tcW w:w="1984" w:type="dxa"/>
          </w:tcPr>
          <w:p w14:paraId="72E4C2BA">
            <w:pPr>
              <w:spacing w:after="0" w:line="240" w:lineRule="auto"/>
            </w:pPr>
            <w:r>
              <w:t>Комплект силиконовых патрубков системы охлаждения (все патрубки)</w:t>
            </w:r>
          </w:p>
        </w:tc>
        <w:tc>
          <w:tcPr>
            <w:tcW w:w="1710" w:type="dxa"/>
          </w:tcPr>
          <w:p w14:paraId="7F0F5258">
            <w:pPr>
              <w:spacing w:after="0" w:line="240" w:lineRule="auto"/>
            </w:pPr>
            <w:r>
              <w:t>компл.</w:t>
            </w:r>
          </w:p>
        </w:tc>
        <w:tc>
          <w:tcPr>
            <w:tcW w:w="1709" w:type="dxa"/>
          </w:tcPr>
          <w:p w14:paraId="5748BE0B">
            <w:pPr>
              <w:spacing w:after="0" w:line="240" w:lineRule="auto"/>
            </w:pPr>
            <w:r>
              <w:t>1</w:t>
            </w:r>
          </w:p>
        </w:tc>
      </w:tr>
      <w:tr w14:paraId="42ED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49EF653F">
            <w:pPr>
              <w:spacing w:after="0" w:line="240" w:lineRule="auto"/>
            </w:pPr>
            <w:r>
              <w:t>12</w:t>
            </w:r>
          </w:p>
        </w:tc>
        <w:tc>
          <w:tcPr>
            <w:tcW w:w="1984" w:type="dxa"/>
          </w:tcPr>
          <w:p w14:paraId="2BEAFADC">
            <w:pPr>
              <w:spacing w:after="0" w:line="240" w:lineRule="auto"/>
            </w:pPr>
            <w:r>
              <w:t>Работы по замене всех патрубков системы охлаждения</w:t>
            </w:r>
          </w:p>
        </w:tc>
        <w:tc>
          <w:tcPr>
            <w:tcW w:w="1710" w:type="dxa"/>
          </w:tcPr>
          <w:p w14:paraId="69456D1C">
            <w:pPr>
              <w:spacing w:after="0" w:line="240" w:lineRule="auto"/>
            </w:pPr>
            <w:r>
              <w:t>услуга</w:t>
            </w:r>
          </w:p>
        </w:tc>
        <w:tc>
          <w:tcPr>
            <w:tcW w:w="1709" w:type="dxa"/>
          </w:tcPr>
          <w:p w14:paraId="0F023F88">
            <w:pPr>
              <w:spacing w:after="0" w:line="240" w:lineRule="auto"/>
            </w:pPr>
            <w:r>
              <w:t>1</w:t>
            </w:r>
          </w:p>
        </w:tc>
      </w:tr>
      <w:tr w14:paraId="2BFE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73056B87">
            <w:pPr>
              <w:spacing w:after="0" w:line="240" w:lineRule="auto"/>
            </w:pPr>
            <w:r>
              <w:t>13</w:t>
            </w:r>
          </w:p>
        </w:tc>
        <w:tc>
          <w:tcPr>
            <w:tcW w:w="1984" w:type="dxa"/>
          </w:tcPr>
          <w:p w14:paraId="6848BE16">
            <w:pPr>
              <w:spacing w:after="0" w:line="240" w:lineRule="auto"/>
            </w:pPr>
            <w:r>
              <w:t>Фильтр воздушный двигателя</w:t>
            </w:r>
          </w:p>
        </w:tc>
        <w:tc>
          <w:tcPr>
            <w:tcW w:w="1710" w:type="dxa"/>
          </w:tcPr>
          <w:p w14:paraId="423D4482">
            <w:pPr>
              <w:spacing w:after="0" w:line="240" w:lineRule="auto"/>
            </w:pPr>
            <w:r>
              <w:t>шт.</w:t>
            </w:r>
          </w:p>
        </w:tc>
        <w:tc>
          <w:tcPr>
            <w:tcW w:w="1709" w:type="dxa"/>
          </w:tcPr>
          <w:p w14:paraId="59399EDF">
            <w:pPr>
              <w:spacing w:after="0" w:line="240" w:lineRule="auto"/>
            </w:pPr>
            <w:r>
              <w:t>1</w:t>
            </w:r>
          </w:p>
        </w:tc>
      </w:tr>
      <w:tr w14:paraId="46ADD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088EFB46">
            <w:pPr>
              <w:spacing w:after="0" w:line="240" w:lineRule="auto"/>
            </w:pPr>
            <w:r>
              <w:t>14</w:t>
            </w:r>
          </w:p>
        </w:tc>
        <w:tc>
          <w:tcPr>
            <w:tcW w:w="1984" w:type="dxa"/>
          </w:tcPr>
          <w:p w14:paraId="460729DD">
            <w:pPr>
              <w:spacing w:after="0" w:line="240" w:lineRule="auto"/>
            </w:pPr>
            <w:r>
              <w:t>Фильтр масляный двигателя</w:t>
            </w:r>
          </w:p>
        </w:tc>
        <w:tc>
          <w:tcPr>
            <w:tcW w:w="1710" w:type="dxa"/>
          </w:tcPr>
          <w:p w14:paraId="723DFEA5">
            <w:pPr>
              <w:spacing w:after="0" w:line="240" w:lineRule="auto"/>
            </w:pPr>
            <w:r>
              <w:t>шт.</w:t>
            </w:r>
          </w:p>
        </w:tc>
        <w:tc>
          <w:tcPr>
            <w:tcW w:w="1709" w:type="dxa"/>
          </w:tcPr>
          <w:p w14:paraId="2F23205A">
            <w:pPr>
              <w:spacing w:after="0" w:line="240" w:lineRule="auto"/>
            </w:pPr>
            <w:r>
              <w:t>1</w:t>
            </w:r>
          </w:p>
        </w:tc>
      </w:tr>
      <w:tr w14:paraId="24680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307A7A34">
            <w:pPr>
              <w:spacing w:after="0" w:line="240" w:lineRule="auto"/>
            </w:pPr>
            <w:r>
              <w:t>15</w:t>
            </w:r>
          </w:p>
        </w:tc>
        <w:tc>
          <w:tcPr>
            <w:tcW w:w="1984" w:type="dxa"/>
          </w:tcPr>
          <w:p w14:paraId="6C364BF9">
            <w:pPr>
              <w:spacing w:after="0" w:line="240" w:lineRule="auto"/>
            </w:pPr>
            <w:r>
              <w:t>Контрольная протяжка крепежа/соединений после обкатки двигателя согласно требованиям производителя</w:t>
            </w:r>
          </w:p>
        </w:tc>
        <w:tc>
          <w:tcPr>
            <w:tcW w:w="1710" w:type="dxa"/>
          </w:tcPr>
          <w:p w14:paraId="508B8222">
            <w:pPr>
              <w:spacing w:after="0" w:line="240" w:lineRule="auto"/>
            </w:pPr>
            <w:r>
              <w:t>услуга</w:t>
            </w:r>
          </w:p>
        </w:tc>
        <w:tc>
          <w:tcPr>
            <w:tcW w:w="1709" w:type="dxa"/>
          </w:tcPr>
          <w:p w14:paraId="6F4BB9E9">
            <w:pPr>
              <w:spacing w:after="0" w:line="240" w:lineRule="auto"/>
            </w:pPr>
            <w:r>
              <w:t>1</w:t>
            </w:r>
          </w:p>
        </w:tc>
      </w:tr>
      <w:tr w14:paraId="039F7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3C10632F">
            <w:pPr>
              <w:spacing w:after="0" w:line="240" w:lineRule="auto"/>
            </w:pPr>
            <w:r>
              <w:t>16</w:t>
            </w:r>
          </w:p>
        </w:tc>
        <w:tc>
          <w:tcPr>
            <w:tcW w:w="1984" w:type="dxa"/>
          </w:tcPr>
          <w:p w14:paraId="30E3895F">
            <w:pPr>
              <w:spacing w:after="0" w:line="240" w:lineRule="auto"/>
            </w:pPr>
            <w:r>
              <w:t>Замена моторного масла SAE 10W-40 и масляного фильтра после обкатки двигателя</w:t>
            </w:r>
          </w:p>
        </w:tc>
        <w:tc>
          <w:tcPr>
            <w:tcW w:w="1710" w:type="dxa"/>
          </w:tcPr>
          <w:p w14:paraId="4A981804">
            <w:pPr>
              <w:spacing w:after="0" w:line="240" w:lineRule="auto"/>
            </w:pPr>
            <w:r>
              <w:t>услуга</w:t>
            </w:r>
          </w:p>
        </w:tc>
        <w:tc>
          <w:tcPr>
            <w:tcW w:w="1709" w:type="dxa"/>
          </w:tcPr>
          <w:p w14:paraId="6D5F8907">
            <w:pPr>
              <w:spacing w:after="0" w:line="240" w:lineRule="auto"/>
            </w:pPr>
            <w:r>
              <w:t>1</w:t>
            </w:r>
          </w:p>
        </w:tc>
      </w:tr>
      <w:tr w14:paraId="48EC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35C92D29">
            <w:pPr>
              <w:spacing w:after="0" w:line="240" w:lineRule="auto"/>
            </w:pPr>
            <w:r>
              <w:t>17</w:t>
            </w:r>
          </w:p>
        </w:tc>
        <w:tc>
          <w:tcPr>
            <w:tcW w:w="1984" w:type="dxa"/>
            <w:vAlign w:val="center"/>
          </w:tcPr>
          <w:p w14:paraId="113584B1">
            <w:pPr>
              <w:spacing w:after="0" w:line="240" w:lineRule="auto"/>
            </w:pPr>
            <w:r>
              <w:t>Моторное масло SAE 10W-40, антифриз и расходные материалы</w:t>
            </w:r>
          </w:p>
        </w:tc>
        <w:tc>
          <w:tcPr>
            <w:tcW w:w="1710" w:type="dxa"/>
            <w:vAlign w:val="center"/>
          </w:tcPr>
          <w:p w14:paraId="7804AC96">
            <w:pPr>
              <w:spacing w:after="0" w:line="240" w:lineRule="auto"/>
            </w:pPr>
            <w:r>
              <w:t>компл.</w:t>
            </w:r>
          </w:p>
        </w:tc>
        <w:tc>
          <w:tcPr>
            <w:tcW w:w="1709" w:type="dxa"/>
            <w:vAlign w:val="center"/>
          </w:tcPr>
          <w:p w14:paraId="76EE558E">
            <w:pPr>
              <w:spacing w:after="0" w:line="240" w:lineRule="auto"/>
            </w:pPr>
            <w:r>
              <w:t>1</w:t>
            </w:r>
          </w:p>
        </w:tc>
      </w:tr>
      <w:tr w14:paraId="132D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vAlign w:val="center"/>
          </w:tcPr>
          <w:p w14:paraId="21D2250E">
            <w:pPr>
              <w:spacing w:after="0" w:line="240" w:lineRule="auto"/>
            </w:pPr>
            <w:r>
              <w:t>18</w:t>
            </w:r>
          </w:p>
        </w:tc>
        <w:tc>
          <w:tcPr>
            <w:tcW w:w="1984" w:type="dxa"/>
            <w:vAlign w:val="center"/>
          </w:tcPr>
          <w:p w14:paraId="129F3140">
            <w:pPr>
              <w:spacing w:after="0" w:line="240" w:lineRule="auto"/>
            </w:pPr>
            <w:r>
              <w:t>Шлифовка коленчатого вала под ремонтный размер при необходимости</w:t>
            </w:r>
          </w:p>
        </w:tc>
        <w:tc>
          <w:tcPr>
            <w:tcW w:w="1710" w:type="dxa"/>
            <w:vAlign w:val="center"/>
          </w:tcPr>
          <w:p w14:paraId="3C2D4562">
            <w:pPr>
              <w:spacing w:after="0" w:line="240" w:lineRule="auto"/>
            </w:pPr>
            <w:r>
              <w:t>услуга</w:t>
            </w:r>
          </w:p>
        </w:tc>
        <w:tc>
          <w:tcPr>
            <w:tcW w:w="1709" w:type="dxa"/>
            <w:vAlign w:val="center"/>
          </w:tcPr>
          <w:p w14:paraId="4CBACDAD">
            <w:pPr>
              <w:spacing w:after="0" w:line="240" w:lineRule="auto"/>
            </w:pPr>
            <w:r>
              <w:t>1</w:t>
            </w:r>
          </w:p>
        </w:tc>
      </w:tr>
      <w:tr w14:paraId="3E18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9" w:type="dxa"/>
            <w:gridSpan w:val="4"/>
          </w:tcPr>
          <w:p w14:paraId="254A0BA5">
            <w:pPr>
              <w:spacing w:after="0" w:line="240" w:lineRule="auto"/>
            </w:pPr>
            <w:r>
              <w:rPr>
                <w:b/>
              </w:rPr>
              <w:t xml:space="preserve">ИТОГО по смете </w:t>
            </w:r>
          </w:p>
        </w:tc>
      </w:tr>
    </w:tbl>
    <w:p w14:paraId="44DF1CA4">
      <w:pPr>
        <w:pStyle w:val="3"/>
        <w:rPr>
          <w:rFonts w:hint="default"/>
          <w:lang w:val="ru-RU"/>
        </w:rPr>
      </w:pPr>
      <w:r>
        <w:t xml:space="preserve"> Работы и детали, выполняемые при необходимости</w:t>
      </w:r>
      <w:r>
        <w:rPr>
          <w:rFonts w:hint="default"/>
          <w:lang w:val="ru-RU"/>
        </w:rPr>
        <w:t>/Қажет болған жағдайда орындалатын жұмыстар мен бөлшектер</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8"/>
        <w:gridCol w:w="2578"/>
        <w:gridCol w:w="2578"/>
      </w:tblGrid>
      <w:tr w14:paraId="350AA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8" w:type="dxa"/>
          </w:tcPr>
          <w:p w14:paraId="2D4E039A">
            <w:pPr>
              <w:spacing w:after="0" w:line="240" w:lineRule="auto"/>
            </w:pPr>
            <w:r>
              <w:t>№</w:t>
            </w:r>
          </w:p>
        </w:tc>
        <w:tc>
          <w:tcPr>
            <w:tcW w:w="2578" w:type="dxa"/>
          </w:tcPr>
          <w:p w14:paraId="5C8AF120">
            <w:pPr>
              <w:spacing w:after="0" w:line="240" w:lineRule="auto"/>
              <w:rPr>
                <w:rFonts w:hint="default"/>
                <w:lang w:val="ru-RU"/>
              </w:rPr>
            </w:pPr>
            <w:r>
              <w:t>Наименование</w:t>
            </w:r>
            <w:r>
              <w:rPr>
                <w:rFonts w:hint="default"/>
                <w:lang w:val="ru-RU"/>
              </w:rPr>
              <w:t>/атауы</w:t>
            </w:r>
          </w:p>
        </w:tc>
        <w:tc>
          <w:tcPr>
            <w:tcW w:w="2578" w:type="dxa"/>
          </w:tcPr>
          <w:p w14:paraId="2D5D9C40">
            <w:pPr>
              <w:spacing w:after="0" w:line="240" w:lineRule="auto"/>
              <w:rPr>
                <w:rFonts w:hint="default"/>
                <w:lang w:val="ru-RU"/>
              </w:rPr>
            </w:pPr>
            <w:r>
              <w:t>Кол-во</w:t>
            </w:r>
            <w:r>
              <w:rPr>
                <w:rFonts w:hint="default"/>
                <w:lang w:val="ru-RU"/>
              </w:rPr>
              <w:t>/Саны</w:t>
            </w:r>
          </w:p>
        </w:tc>
      </w:tr>
      <w:tr w14:paraId="6741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8" w:type="dxa"/>
          </w:tcPr>
          <w:p w14:paraId="36CB7DE6">
            <w:pPr>
              <w:spacing w:after="0" w:line="240" w:lineRule="auto"/>
            </w:pPr>
            <w:r>
              <w:t>1</w:t>
            </w:r>
          </w:p>
        </w:tc>
        <w:tc>
          <w:tcPr>
            <w:tcW w:w="2578" w:type="dxa"/>
          </w:tcPr>
          <w:p w14:paraId="4BACFFB4">
            <w:pPr>
              <w:spacing w:after="0" w:line="240" w:lineRule="auto"/>
            </w:pPr>
            <w:r>
              <w:t>Масляный насос новый, при подтверждённой неисправности</w:t>
            </w:r>
          </w:p>
        </w:tc>
        <w:tc>
          <w:tcPr>
            <w:tcW w:w="2578" w:type="dxa"/>
          </w:tcPr>
          <w:p w14:paraId="3A48E3FE">
            <w:pPr>
              <w:spacing w:after="0" w:line="240" w:lineRule="auto"/>
            </w:pPr>
            <w:r>
              <w:t>1</w:t>
            </w:r>
          </w:p>
        </w:tc>
      </w:tr>
      <w:tr w14:paraId="5C61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8" w:type="dxa"/>
          </w:tcPr>
          <w:p w14:paraId="4715C809">
            <w:pPr>
              <w:spacing w:after="0" w:line="240" w:lineRule="auto"/>
            </w:pPr>
            <w:r>
              <w:t>2</w:t>
            </w:r>
          </w:p>
        </w:tc>
        <w:tc>
          <w:tcPr>
            <w:tcW w:w="2578" w:type="dxa"/>
          </w:tcPr>
          <w:p w14:paraId="761AE28F">
            <w:pPr>
              <w:spacing w:after="0" w:line="240" w:lineRule="auto"/>
            </w:pPr>
            <w:r>
              <w:t>Диск сцепления/феродо, при подтверждённом износе</w:t>
            </w:r>
          </w:p>
        </w:tc>
        <w:tc>
          <w:tcPr>
            <w:tcW w:w="2578" w:type="dxa"/>
          </w:tcPr>
          <w:p w14:paraId="68B07434">
            <w:pPr>
              <w:spacing w:after="0" w:line="240" w:lineRule="auto"/>
            </w:pPr>
            <w:r>
              <w:t>1</w:t>
            </w:r>
          </w:p>
        </w:tc>
      </w:tr>
      <w:tr w14:paraId="0F79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8" w:type="dxa"/>
          </w:tcPr>
          <w:p w14:paraId="1A2CFD13">
            <w:pPr>
              <w:spacing w:after="0" w:line="240" w:lineRule="auto"/>
            </w:pPr>
            <w:r>
              <w:t>3</w:t>
            </w:r>
          </w:p>
        </w:tc>
        <w:tc>
          <w:tcPr>
            <w:tcW w:w="2578" w:type="dxa"/>
          </w:tcPr>
          <w:p w14:paraId="5341E7F9">
            <w:pPr>
              <w:spacing w:after="0" w:line="240" w:lineRule="auto"/>
            </w:pPr>
            <w:r>
              <w:t>Корзина сцепления, при подтверждённой неисправности</w:t>
            </w:r>
          </w:p>
        </w:tc>
        <w:tc>
          <w:tcPr>
            <w:tcW w:w="2578" w:type="dxa"/>
          </w:tcPr>
          <w:p w14:paraId="04FF5DC8">
            <w:pPr>
              <w:spacing w:after="0" w:line="240" w:lineRule="auto"/>
            </w:pPr>
            <w:r>
              <w:t>1</w:t>
            </w:r>
          </w:p>
        </w:tc>
      </w:tr>
      <w:tr w14:paraId="2C65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8" w:type="dxa"/>
          </w:tcPr>
          <w:p w14:paraId="4884A4BC">
            <w:pPr>
              <w:spacing w:after="0" w:line="240" w:lineRule="auto"/>
            </w:pPr>
            <w:r>
              <w:t>4</w:t>
            </w:r>
          </w:p>
        </w:tc>
        <w:tc>
          <w:tcPr>
            <w:tcW w:w="2578" w:type="dxa"/>
          </w:tcPr>
          <w:p w14:paraId="5BECE72D">
            <w:pPr>
              <w:spacing w:after="0" w:line="240" w:lineRule="auto"/>
            </w:pPr>
            <w:r>
              <w:t>Выжимной подшипник, при подтверждённом износе</w:t>
            </w:r>
          </w:p>
        </w:tc>
        <w:tc>
          <w:tcPr>
            <w:tcW w:w="2578" w:type="dxa"/>
          </w:tcPr>
          <w:p w14:paraId="205828DE">
            <w:pPr>
              <w:spacing w:after="0" w:line="240" w:lineRule="auto"/>
            </w:pPr>
            <w:r>
              <w:t>1</w:t>
            </w:r>
          </w:p>
        </w:tc>
      </w:tr>
    </w:tbl>
    <w:p w14:paraId="55B724DE">
      <w:pPr>
        <w:pStyle w:val="3"/>
      </w:pPr>
      <w:r>
        <w:t>Требования к ремонту</w:t>
      </w:r>
    </w:p>
    <w:p w14:paraId="2613855A">
      <w:pPr>
        <w:pStyle w:val="22"/>
      </w:pPr>
      <w:r>
        <w:t>Использовать новые оригинальные запасные части, соответствующие точной комплектации двигателя ЗМЗ-5245.10. Каталожные номера проверить до заказа.</w:t>
      </w:r>
    </w:p>
    <w:p w14:paraId="0CF0524E">
      <w:pPr>
        <w:pStyle w:val="22"/>
      </w:pPr>
      <w:r>
        <w:t>Заменить две головки блока цилиндров, восемь гильз, поршни с кольцами, коренные и шатунные вкладыши, а также восемь топливных форсунок.</w:t>
      </w:r>
    </w:p>
    <w:p w14:paraId="494A120C">
      <w:pPr>
        <w:pStyle w:val="22"/>
      </w:pPr>
      <w:r>
        <w:t>Проверить коленчатый вал; шлифовку выполнять только при необходимости по результатам измерений и после согласования с заказчиком.</w:t>
      </w:r>
    </w:p>
    <w:p w14:paraId="278ADAFE">
      <w:pPr>
        <w:pStyle w:val="22"/>
      </w:pPr>
      <w:r>
        <w:t>Проверить масляный насос; при подтверждённом износе/неисправности его замена оформляется дополнительно.</w:t>
      </w:r>
    </w:p>
    <w:p w14:paraId="5CAD7329">
      <w:pPr>
        <w:pStyle w:val="22"/>
      </w:pPr>
      <w:r>
        <w:t>Промыть систему охлаждения и радиатор. Замена радиатора не входит в настоящую смету.</w:t>
      </w:r>
    </w:p>
    <w:p w14:paraId="0734402D">
      <w:pPr>
        <w:pStyle w:val="22"/>
      </w:pPr>
      <w:r>
        <w:t>Проверить феродо (диск сцепления), корзину сцепления и выжимной подшипник; при необходимости замену согласовать с заказчиком.</w:t>
      </w:r>
    </w:p>
    <w:p w14:paraId="348F869F">
      <w:pPr>
        <w:pStyle w:val="22"/>
      </w:pPr>
      <w:r>
        <w:t>После ремонта выполнить сборку, установку, запуск и контрольную проверку двигателя, включая давление масла, температуру и герметичность.</w:t>
      </w:r>
    </w:p>
    <w:p w14:paraId="3E908A4D">
      <w:r>
        <w:rPr>
          <w:b/>
        </w:rPr>
        <w:t xml:space="preserve">Дополнение: </w:t>
      </w:r>
      <w:r>
        <w:t>предусмотрена контрольная протяжка крепежа/соединений после обкатки двигателя согласно требованиям производителя. Необходимость и порядок повторной затяжки головок блока цилиндров определяются документацией производителя двигателя; выполнять её только если это предусмотрено регламентом.</w:t>
      </w:r>
    </w:p>
    <w:p w14:paraId="1D1F0003">
      <w:r>
        <w:rPr>
          <w:b/>
        </w:rPr>
        <w:t xml:space="preserve">Дополнение: </w:t>
      </w:r>
      <w:r>
        <w:t xml:space="preserve">после обкатки двигателя предусмотрены контрольная протяжка крепежа/соединений согласно регламенту производителя, замена моторного масла и масляного фильтра. </w:t>
      </w:r>
    </w:p>
    <w:p w14:paraId="78FB90CE">
      <w:r>
        <w:rPr>
          <w:b/>
        </w:rPr>
        <w:t xml:space="preserve">Уточнение по материалам: </w:t>
      </w:r>
      <w:r>
        <w:t xml:space="preserve">в смете указаны моторное масло SAE 10W-40 и антифриз. Необходимые объёмы, спецификацию масла и тип антифриза следует проверить по руководству и требованиям конкретного двигателя; </w:t>
      </w:r>
      <w:r>
        <w:rPr>
          <w:b/>
        </w:rPr>
        <w:t>Требования после ремонта</w:t>
      </w:r>
    </w:p>
    <w:p w14:paraId="5288FFF8">
      <w:r>
        <w:t>После завершения капитального ремонта и установки двигателя на автобус выполнить проверку герметичности двигателя, системы смазки и системы охлаждения, включая навесное оборудование, соединения, патрубки, прокладки, сальники и места подключения.</w:t>
      </w:r>
    </w:p>
    <w:p w14:paraId="4063A374">
      <w:r>
        <w:t>После ремонта и контрольного запуска двигателя не допускаются утечки моторного масла и антифриза в любых местах двигателя и навесного оборудования. Все соединения должны быть герметичны. При выявлении течи исполнитель обязан устранить её до сдачи автобуса заказчику.</w:t>
      </w:r>
    </w:p>
    <w:p w14:paraId="4958D36D">
      <w:r>
        <w:t>Перед передачей автобуса провести контрольный запуск, проверить рабочую температуру, отсутствие подтеканий и повторно осмотреть соединения после остывания двигателя. Результат проверки включить в акт выполненных работ.</w:t>
      </w:r>
    </w:p>
    <w:p w14:paraId="14CE8BB6">
      <w:r>
        <w:rPr>
          <w:b/>
        </w:rPr>
        <w:t>Дополнительные гарантийные условия</w:t>
      </w:r>
    </w:p>
    <w:p w14:paraId="668D85B3">
      <w:r>
        <w:t>При выявлении в процессе ремонта или при контрольной проверке дефектов навесного оборудования двигателя, а также связанных с ремонтом узлов и соединений, поставщик обязан за свой счёт выполнить необходимые диагностику, устранение выявленных дефектов и повторную проверку работоспособности. Дополнительная оплата за устранение таких дефектов заказчиком не производится, если дефекты относятся к объёму ремонта и обязательствам поставщика по договору.</w:t>
      </w:r>
    </w:p>
    <w:p w14:paraId="384C8EA6">
      <w:r>
        <w:t>Работы и замену деталей, не относящиеся к согласованному объёму ремонта и не связанные с качеством выполненных работ, поставщик предварительно согласовывает с заказчиком в письменной форме до их выполнения.</w:t>
      </w:r>
    </w:p>
    <w:p w14:paraId="22E0DDE0">
      <w:pPr>
        <w:rPr>
          <w:rFonts w:hint="default"/>
        </w:rPr>
      </w:pPr>
    </w:p>
    <w:p w14:paraId="3D3FD1CF">
      <w:pPr>
        <w:ind w:firstLine="100" w:firstLineChars="50"/>
        <w:rPr>
          <w:rFonts w:hint="default"/>
          <w:b/>
          <w:bCs/>
        </w:rPr>
      </w:pPr>
      <w:r>
        <w:rPr>
          <w:rFonts w:hint="default"/>
          <w:b/>
          <w:bCs/>
        </w:rPr>
        <w:t>«Ақмола облысы білім басқармасының Аршалы ауданы бойынша білім бөлімінің Түрген ауылының жалпы білім беретін мектебі» КММ автобус қозғалтқышын күрделі жөндеуге техникалық мамандандыру</w:t>
      </w:r>
    </w:p>
    <w:p w14:paraId="1697DCDF">
      <w:pPr>
        <w:rPr>
          <w:rFonts w:hint="default"/>
        </w:rPr>
      </w:pPr>
      <w:r>
        <w:rPr>
          <w:rFonts w:hint="default"/>
        </w:rPr>
        <w:t>Тапсырыс беруші: «Ақмола облысы білім басқармасының Аршалы ауданы бойынша білім бөлімі» ММ Автобус: ПАЗ-320540-02 Мемлекеттік нөмірі: 867 AH 03</w:t>
      </w:r>
    </w:p>
    <w:p w14:paraId="78083EE2">
      <w:pPr>
        <w:rPr>
          <w:rFonts w:hint="default"/>
        </w:rPr>
      </w:pPr>
      <w:r>
        <w:rPr>
          <w:rFonts w:hint="default"/>
        </w:rPr>
        <w:t>Қозғалтқыш: ЗМЗ-5245.10, бензинді, 8 цилиндрлі</w:t>
      </w:r>
    </w:p>
    <w:p w14:paraId="356282DD">
      <w:pPr>
        <w:rPr>
          <w:rFonts w:hint="default"/>
          <w:lang w:val="kk-KZ"/>
        </w:rPr>
      </w:pPr>
      <w:r>
        <w:rPr>
          <w:rFonts w:hint="default"/>
        </w:rPr>
        <w:t xml:space="preserve">Автобустың орналасқан жері: Ақмола облысы, Түрген </w:t>
      </w:r>
      <w:r>
        <w:rPr>
          <w:rFonts w:hint="default"/>
          <w:lang w:val="kk-KZ"/>
        </w:rPr>
        <w:t>ауылы</w:t>
      </w:r>
    </w:p>
    <w:p w14:paraId="2FE87340">
      <w:pPr>
        <w:rPr>
          <w:rFonts w:hint="default"/>
          <w:b/>
          <w:bCs/>
        </w:rPr>
      </w:pPr>
      <w:r>
        <w:rPr>
          <w:rFonts w:hint="default"/>
          <w:b/>
          <w:bCs/>
        </w:rPr>
        <w:t>Жөндеуге қойылатын талаптар</w:t>
      </w:r>
    </w:p>
    <w:p w14:paraId="289A668D">
      <w:pPr>
        <w:rPr>
          <w:rFonts w:hint="default"/>
        </w:rPr>
      </w:pPr>
      <w:r>
        <w:rPr>
          <w:rFonts w:hint="default"/>
        </w:rPr>
        <w:t>ZMZ-5245.10 қозғалтқышының дәл жиынтығына сәйкес келетін жаңа түпнұсқа қосалқы бөлшектерді пайдалану. Каталог нөмірлерін тапсырысқа дейін тексеру.</w:t>
      </w:r>
    </w:p>
    <w:p w14:paraId="7339B173">
      <w:pPr>
        <w:rPr>
          <w:rFonts w:hint="default"/>
        </w:rPr>
      </w:pPr>
      <w:r>
        <w:rPr>
          <w:rFonts w:hint="default"/>
        </w:rPr>
        <w:t xml:space="preserve"> Цилиндрлердің екі басын, сегіз гильзаны, сақиналы поршендерді, түпкі және шатунды жапсырмаларды, сондай-ақ сегіз отын бүріккішін ауыстыру.</w:t>
      </w:r>
    </w:p>
    <w:p w14:paraId="1D25258F">
      <w:pPr>
        <w:rPr>
          <w:rFonts w:hint="default"/>
        </w:rPr>
      </w:pPr>
      <w:r>
        <w:rPr>
          <w:rFonts w:hint="default"/>
        </w:rPr>
        <w:t>, Иінді білікті тексеру; ажарлауды қажет болған жағдайда өлшеу нәтижелері бойынша және тапсырыс берушімен келіскеннен кейін ғана орындауға міндетті.</w:t>
      </w:r>
    </w:p>
    <w:p w14:paraId="1064D9E4">
      <w:pPr>
        <w:rPr>
          <w:rFonts w:hint="default"/>
        </w:rPr>
      </w:pPr>
      <w:r>
        <w:rPr>
          <w:rFonts w:hint="default"/>
        </w:rPr>
        <w:t xml:space="preserve"> Май сорғысын тексеру; тозу/ақау расталған кезде оны ауыстыру қосымша ресімделеді.</w:t>
      </w:r>
    </w:p>
    <w:p w14:paraId="43C1B5A0">
      <w:pPr>
        <w:rPr>
          <w:rFonts w:hint="default"/>
        </w:rPr>
      </w:pPr>
      <w:r>
        <w:rPr>
          <w:rFonts w:hint="default"/>
        </w:rPr>
        <w:t>, Салқындату жүйесін және радиаторды жуу. Радиаторды ауыстыру осы сметаға кірмейді.</w:t>
      </w:r>
    </w:p>
    <w:p w14:paraId="26D85D55">
      <w:pPr>
        <w:rPr>
          <w:rFonts w:hint="default"/>
        </w:rPr>
      </w:pPr>
      <w:r>
        <w:rPr>
          <w:rFonts w:hint="default"/>
        </w:rPr>
        <w:t xml:space="preserve"> Феродты (ілінісу дискісін), ілінісу себетін және сығу подшипнигін тексеру; қажет болған жағдайда ауыстыруды тапсырыс берушімен келісуге міндетті.</w:t>
      </w:r>
    </w:p>
    <w:p w14:paraId="4D11E006">
      <w:pPr>
        <w:rPr>
          <w:rFonts w:hint="default"/>
        </w:rPr>
      </w:pPr>
      <w:r>
        <w:rPr>
          <w:rFonts w:hint="default"/>
        </w:rPr>
        <w:t xml:space="preserve"> Жөндеуден кейін май қысымын, температура мен герметикалықты қоса алғанда, қозғалтқышты құрастыру, орнату, іске қосу және бақылау тексеруін орындау.</w:t>
      </w:r>
    </w:p>
    <w:p w14:paraId="25BCE959">
      <w:pPr>
        <w:rPr>
          <w:rFonts w:hint="default"/>
        </w:rPr>
      </w:pPr>
      <w:r>
        <w:rPr>
          <w:rFonts w:hint="default"/>
        </w:rPr>
        <w:t>Толықтыру: өндірушінің талаптарына сәйкес қозғалтқышты сынаудан кейін бекітпені/қосылыстарды бақылау тартылуы көзделген. Цилиндрлер блогының бастиектерін қайта керудің қажеттілігі мен тәртібі қозғалтқышты өндірушінің құжаттамасымен айқындалады; егер регламентте көзделген болса ғана оны орындау.</w:t>
      </w:r>
    </w:p>
    <w:p w14:paraId="31244172">
      <w:pPr>
        <w:rPr>
          <w:rFonts w:hint="default"/>
        </w:rPr>
      </w:pPr>
      <w:r>
        <w:rPr>
          <w:rFonts w:hint="default"/>
        </w:rPr>
        <w:t>Толықтыру: қозғалтқышты сынақтан өткізгеннен кейін өндіруші регламентіне сәйкес бекітпені/қосылыстарды бақылау тартылуы, мотор майы мен май сүзгісін ауыстыру көзделген.</w:t>
      </w:r>
    </w:p>
    <w:p w14:paraId="244CBF4B">
      <w:pPr>
        <w:rPr>
          <w:rFonts w:hint="default"/>
        </w:rPr>
      </w:pPr>
      <w:r>
        <w:rPr>
          <w:rFonts w:hint="default"/>
        </w:rPr>
        <w:t>Материалдар бойынша нақтылау: сметада SAE 10W-40 мотор майы және антифриз көрсетілген. Қажетті көлемді, майдың ерекшелігін және антифриз түрін нақты қозғалтқыштың басшылығы мен талаптары бойынша тексеру керек; Жөндеуден кейінгі талаптар</w:t>
      </w:r>
    </w:p>
    <w:p w14:paraId="2920781D">
      <w:pPr>
        <w:rPr>
          <w:rFonts w:hint="default"/>
        </w:rPr>
      </w:pPr>
      <w:r>
        <w:rPr>
          <w:rFonts w:hint="default"/>
        </w:rPr>
        <w:t>Күрделі жөндеу және қозғалтқышты автобусқа орнату аяқталғаннан кейін аспалы жабдықты, қосылыстарды, келте құбырларды, төсемелерді, сальниктер мен қосу орындарын қоса алғанда, қозғалтқыштың, майлау жүйесінің және салқындату жүйесінің герметикалығын тексеруді орындау қажет.</w:t>
      </w:r>
    </w:p>
    <w:p w14:paraId="518EAC6A">
      <w:pPr>
        <w:rPr>
          <w:rFonts w:hint="default"/>
        </w:rPr>
      </w:pPr>
      <w:r>
        <w:rPr>
          <w:rFonts w:hint="default"/>
        </w:rPr>
        <w:t>Қозғалтқышты жөндегеннен және бақылап іске қосқаннан кейін қозғалтқыштың және аспалы жабдықтың кез келген жерлерінде мотор майының және антифриздің ағуына жол берілмейді. Барлық қосылыстар герметикалық болуы тиіс. Ағу анықталған кезде орындаушы оны автобусты тапсырыс берушiге тапсырғанға дейiн жоюға мiндеттi.</w:t>
      </w:r>
    </w:p>
    <w:p w14:paraId="081F3A2A">
      <w:pPr>
        <w:rPr>
          <w:rFonts w:hint="default"/>
        </w:rPr>
      </w:pPr>
      <w:r>
        <w:rPr>
          <w:rFonts w:hint="default"/>
        </w:rPr>
        <w:t>Автобусты беру алдында бақылау іске қосуды жүргізу, жұмыс температурасын, ағудың жоқтығын тексеру және қозғалтқыш суығаннан кейін қосылыстарды қайта тексеру. Тексеру нәтижесі орындалған жұмыстар актісіне енгізілсін.</w:t>
      </w:r>
    </w:p>
    <w:p w14:paraId="27471227">
      <w:pPr>
        <w:rPr>
          <w:rFonts w:hint="default"/>
          <w:b/>
          <w:bCs/>
        </w:rPr>
      </w:pPr>
      <w:bookmarkStart w:id="0" w:name="_GoBack"/>
      <w:r>
        <w:rPr>
          <w:rFonts w:hint="default"/>
          <w:b/>
          <w:bCs/>
        </w:rPr>
        <w:t>Қосымша кепілдік шарттары</w:t>
      </w:r>
    </w:p>
    <w:bookmarkEnd w:id="0"/>
    <w:p w14:paraId="53637949">
      <w:pPr>
        <w:rPr>
          <w:rFonts w:hint="default"/>
        </w:rPr>
      </w:pPr>
      <w:r>
        <w:rPr>
          <w:rFonts w:hint="default"/>
        </w:rPr>
        <w:t>Жөндеу процесінде немесе қозғалтқыштың аспалы жабдығының ақаулары, сондай-ақ жөндеумен байланысты тораптар мен қосылыстар анықталған кезде жеткізуші өз есебінен қажетті диагностиканы, анықталған ақауларды жоюды және жұмыс қабілеттілігін қайта тексеруді орындауға міндетті. Егер ақаулар жөндеу көлемiне және шарт бойынша жеткiзушiнiң мiндеттемелерiне қатысты болса, тапсырыс берушi мұндай ақауларды жою үшiн қосымша ақы төлеудi жүргiзбейдi.</w:t>
      </w:r>
    </w:p>
    <w:p w14:paraId="41208D1D">
      <w:pPr>
        <w:rPr>
          <w:rFonts w:hint="default"/>
        </w:rPr>
      </w:pPr>
      <w:r>
        <w:rPr>
          <w:rFonts w:hint="default"/>
        </w:rPr>
        <w:t>Жөндеудің келісілген көлеміне жатпайтын және орындалған жұмыстардың сапасына байланысты емес жұмыстар мен бөлшектерді ауыстыруды жеткізуші тапсырыс берушімен олар орындалғанға дейін алдын ала жазбаша нысанда келіседі.</w:t>
      </w:r>
    </w:p>
    <w:sectPr>
      <w:pgSz w:w="12240" w:h="15840"/>
      <w:pgMar w:top="907" w:right="964" w:bottom="907" w:left="96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Symbol">
    <w:panose1 w:val="05050102010706020507"/>
    <w:charset w:val="02"/>
    <w:family w:val="auto"/>
    <w:pitch w:val="default"/>
    <w:sig w:usb0="00000000" w:usb1="00000000" w:usb2="00000000" w:usb3="00000000" w:csb0="80000000"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18"/>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28"/>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4"/>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7"/>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2"/>
      <w:lvlText w:val=""/>
      <w:lvlJc w:val="left"/>
      <w:pPr>
        <w:tabs>
          <w:tab w:val="left" w:pos="360"/>
        </w:tabs>
        <w:ind w:left="360" w:hanging="360"/>
      </w:pPr>
      <w:rPr>
        <w:rFonts w:hint="default" w:ascii="Symbol" w:hAnsi="Symbol"/>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32C47C3"/>
    <w:rsid w:val="435310B4"/>
    <w:rsid w:val="51A16DD9"/>
    <w:rsid w:val="663231A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uiPriority="99" w:semiHidden="0" w:name="List"/>
    <w:lsdException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EastAsia" w:cstheme="minorBidi"/>
      <w:sz w:val="20"/>
      <w:szCs w:val="22"/>
      <w:lang w:val="en-US" w:eastAsia="en-US" w:bidi="ar-SA"/>
    </w:rPr>
  </w:style>
  <w:style w:type="paragraph" w:styleId="2">
    <w:name w:val="heading 1"/>
    <w:basedOn w:val="1"/>
    <w:next w:val="1"/>
    <w:link w:val="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List Continue"/>
    <w:basedOn w:val="1"/>
    <w:unhideWhenUsed/>
    <w:qFormat/>
    <w:uiPriority w:val="99"/>
    <w:pPr>
      <w:spacing w:after="120"/>
      <w:ind w:left="360"/>
      <w:contextualSpacing/>
    </w:pPr>
  </w:style>
  <w:style w:type="paragraph" w:styleId="16">
    <w:name w:val="Body Text 2"/>
    <w:basedOn w:val="1"/>
    <w:link w:val="47"/>
    <w:unhideWhenUsed/>
    <w:qFormat/>
    <w:uiPriority w:val="99"/>
    <w:pPr>
      <w:spacing w:after="120" w:line="480" w:lineRule="auto"/>
    </w:pPr>
  </w:style>
  <w:style w:type="paragraph" w:styleId="1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8">
    <w:name w:val="List Number 3"/>
    <w:basedOn w:val="1"/>
    <w:unhideWhenUsed/>
    <w:qFormat/>
    <w:uiPriority w:val="99"/>
    <w:pPr>
      <w:numPr>
        <w:ilvl w:val="0"/>
        <w:numId w:val="1"/>
      </w:numPr>
      <w:contextualSpacing/>
    </w:pPr>
  </w:style>
  <w:style w:type="paragraph" w:styleId="19">
    <w:name w:val="header"/>
    <w:basedOn w:val="1"/>
    <w:link w:val="37"/>
    <w:unhideWhenUsed/>
    <w:qFormat/>
    <w:uiPriority w:val="99"/>
    <w:pPr>
      <w:tabs>
        <w:tab w:val="center" w:pos="4680"/>
        <w:tab w:val="right" w:pos="9360"/>
      </w:tabs>
      <w:spacing w:after="0" w:line="240" w:lineRule="auto"/>
    </w:pPr>
  </w:style>
  <w:style w:type="paragraph" w:styleId="20">
    <w:name w:val="Body Text"/>
    <w:basedOn w:val="1"/>
    <w:link w:val="46"/>
    <w:unhideWhenUsed/>
    <w:qFormat/>
    <w:uiPriority w:val="99"/>
    <w:pPr>
      <w:spacing w:after="120"/>
    </w:pPr>
  </w:style>
  <w:style w:type="paragraph" w:styleId="21">
    <w:name w:val="macro"/>
    <w:link w:val="49"/>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22">
    <w:name w:val="List Bullet"/>
    <w:basedOn w:val="1"/>
    <w:unhideWhenUsed/>
    <w:uiPriority w:val="99"/>
    <w:pPr>
      <w:numPr>
        <w:ilvl w:val="0"/>
        <w:numId w:val="2"/>
      </w:numPr>
      <w:contextualSpacing/>
    </w:pPr>
  </w:style>
  <w:style w:type="paragraph" w:styleId="23">
    <w:name w:val="List Bullet 2"/>
    <w:basedOn w:val="1"/>
    <w:unhideWhenUsed/>
    <w:qFormat/>
    <w:uiPriority w:val="99"/>
    <w:pPr>
      <w:numPr>
        <w:ilvl w:val="0"/>
        <w:numId w:val="3"/>
      </w:numPr>
      <w:contextualSpacing/>
    </w:pPr>
  </w:style>
  <w:style w:type="paragraph" w:styleId="24">
    <w:name w:val="List Bullet 3"/>
    <w:basedOn w:val="1"/>
    <w:unhideWhenUsed/>
    <w:qFormat/>
    <w:uiPriority w:val="99"/>
    <w:pPr>
      <w:numPr>
        <w:ilvl w:val="0"/>
        <w:numId w:val="4"/>
      </w:numPr>
      <w:contextualSpacing/>
    </w:pPr>
  </w:style>
  <w:style w:type="paragraph" w:styleId="25">
    <w:name w:val="Title"/>
    <w:basedOn w:val="1"/>
    <w:next w:val="1"/>
    <w:link w:val="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26">
    <w:name w:val="footer"/>
    <w:basedOn w:val="1"/>
    <w:link w:val="38"/>
    <w:unhideWhenUsed/>
    <w:qFormat/>
    <w:uiPriority w:val="99"/>
    <w:pPr>
      <w:tabs>
        <w:tab w:val="center" w:pos="4680"/>
        <w:tab w:val="right" w:pos="9360"/>
      </w:tabs>
      <w:spacing w:after="0" w:line="240" w:lineRule="auto"/>
    </w:pPr>
  </w:style>
  <w:style w:type="paragraph" w:styleId="27">
    <w:name w:val="List Number"/>
    <w:basedOn w:val="1"/>
    <w:unhideWhenUsed/>
    <w:qFormat/>
    <w:uiPriority w:val="99"/>
    <w:pPr>
      <w:numPr>
        <w:ilvl w:val="0"/>
        <w:numId w:val="5"/>
      </w:numPr>
      <w:contextualSpacing/>
    </w:pPr>
  </w:style>
  <w:style w:type="paragraph" w:styleId="28">
    <w:name w:val="List Number 2"/>
    <w:basedOn w:val="1"/>
    <w:unhideWhenUsed/>
    <w:qFormat/>
    <w:uiPriority w:val="99"/>
    <w:pPr>
      <w:numPr>
        <w:ilvl w:val="0"/>
        <w:numId w:val="6"/>
      </w:numPr>
      <w:contextualSpacing/>
    </w:pPr>
  </w:style>
  <w:style w:type="paragraph" w:styleId="29">
    <w:name w:val="List"/>
    <w:basedOn w:val="1"/>
    <w:unhideWhenUsed/>
    <w:uiPriority w:val="99"/>
    <w:pPr>
      <w:ind w:left="360" w:hanging="360"/>
      <w:contextualSpacing/>
    </w:pPr>
  </w:style>
  <w:style w:type="paragraph" w:styleId="30">
    <w:name w:val="Body Text 3"/>
    <w:basedOn w:val="1"/>
    <w:link w:val="48"/>
    <w:unhideWhenUsed/>
    <w:qFormat/>
    <w:uiPriority w:val="99"/>
    <w:pPr>
      <w:spacing w:after="120"/>
    </w:pPr>
    <w:rPr>
      <w:sz w:val="16"/>
      <w:szCs w:val="16"/>
    </w:rPr>
  </w:style>
  <w:style w:type="paragraph" w:styleId="31">
    <w:name w:val="Subtitle"/>
    <w:basedOn w:val="1"/>
    <w:next w:val="1"/>
    <w:link w:val="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2">
    <w:name w:val="List Continue 2"/>
    <w:basedOn w:val="1"/>
    <w:unhideWhenUsed/>
    <w:qFormat/>
    <w:uiPriority w:val="99"/>
    <w:pPr>
      <w:spacing w:after="120"/>
      <w:ind w:left="720"/>
      <w:contextualSpacing/>
    </w:pPr>
  </w:style>
  <w:style w:type="paragraph" w:styleId="33">
    <w:name w:val="List Continue 3"/>
    <w:basedOn w:val="1"/>
    <w:unhideWhenUsed/>
    <w:qFormat/>
    <w:uiPriority w:val="99"/>
    <w:pPr>
      <w:spacing w:after="120"/>
      <w:ind w:left="1080"/>
      <w:contextualSpacing/>
    </w:pPr>
  </w:style>
  <w:style w:type="paragraph" w:styleId="34">
    <w:name w:val="List 2"/>
    <w:basedOn w:val="1"/>
    <w:unhideWhenUsed/>
    <w:qFormat/>
    <w:uiPriority w:val="99"/>
    <w:pPr>
      <w:ind w:left="720" w:hanging="360"/>
      <w:contextualSpacing/>
    </w:pPr>
  </w:style>
  <w:style w:type="paragraph" w:styleId="35">
    <w:name w:val="List 3"/>
    <w:basedOn w:val="1"/>
    <w:unhideWhenUsed/>
    <w:qFormat/>
    <w:uiPriority w:val="99"/>
    <w:pPr>
      <w:ind w:left="1080" w:hanging="360"/>
      <w:contextualSpacing/>
    </w:pPr>
  </w:style>
  <w:style w:type="table" w:styleId="36">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7">
    <w:name w:val="Header Char"/>
    <w:basedOn w:val="11"/>
    <w:link w:val="19"/>
    <w:qFormat/>
    <w:uiPriority w:val="99"/>
  </w:style>
  <w:style w:type="character" w:customStyle="1" w:styleId="38">
    <w:name w:val="Footer Char"/>
    <w:basedOn w:val="11"/>
    <w:link w:val="26"/>
    <w:qFormat/>
    <w:uiPriority w:val="99"/>
  </w:style>
  <w:style w:type="paragraph" w:styleId="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0">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41">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2">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3">
    <w:name w:val="Title Char"/>
    <w:basedOn w:val="11"/>
    <w:link w:val="25"/>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4">
    <w:name w:val="Subtitle Char"/>
    <w:basedOn w:val="11"/>
    <w:link w:val="31"/>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5">
    <w:name w:val="List Paragraph"/>
    <w:basedOn w:val="1"/>
    <w:qFormat/>
    <w:uiPriority w:val="34"/>
    <w:pPr>
      <w:ind w:left="720"/>
      <w:contextualSpacing/>
    </w:pPr>
  </w:style>
  <w:style w:type="character" w:customStyle="1" w:styleId="46">
    <w:name w:val="Body Text Char"/>
    <w:basedOn w:val="11"/>
    <w:link w:val="20"/>
    <w:qFormat/>
    <w:uiPriority w:val="99"/>
  </w:style>
  <w:style w:type="character" w:customStyle="1" w:styleId="47">
    <w:name w:val="Body Text 2 Char"/>
    <w:basedOn w:val="11"/>
    <w:link w:val="16"/>
    <w:qFormat/>
    <w:uiPriority w:val="99"/>
  </w:style>
  <w:style w:type="character" w:customStyle="1" w:styleId="48">
    <w:name w:val="Body Text 3 Char"/>
    <w:basedOn w:val="11"/>
    <w:link w:val="30"/>
    <w:qFormat/>
    <w:uiPriority w:val="99"/>
    <w:rPr>
      <w:sz w:val="16"/>
      <w:szCs w:val="16"/>
    </w:rPr>
  </w:style>
  <w:style w:type="character" w:customStyle="1" w:styleId="49">
    <w:name w:val="Macro Text Char"/>
    <w:basedOn w:val="11"/>
    <w:link w:val="21"/>
    <w:qFormat/>
    <w:uiPriority w:val="99"/>
    <w:rPr>
      <w:rFonts w:ascii="Courier" w:hAnsi="Courier"/>
      <w:sz w:val="20"/>
      <w:szCs w:val="20"/>
    </w:rPr>
  </w:style>
  <w:style w:type="paragraph" w:styleId="50">
    <w:name w:val="Quote"/>
    <w:basedOn w:val="1"/>
    <w:next w:val="1"/>
    <w:link w:val="51"/>
    <w:qFormat/>
    <w:uiPriority w:val="29"/>
    <w:rPr>
      <w:i/>
      <w:iCs/>
      <w:color w:val="000000" w:themeColor="text1"/>
      <w14:textFill>
        <w14:solidFill>
          <w14:schemeClr w14:val="tx1"/>
        </w14:solidFill>
      </w14:textFill>
    </w:rPr>
  </w:style>
  <w:style w:type="character" w:customStyle="1" w:styleId="51">
    <w:name w:val="Quote Char"/>
    <w:basedOn w:val="11"/>
    <w:link w:val="50"/>
    <w:qFormat/>
    <w:uiPriority w:val="29"/>
    <w:rPr>
      <w:i/>
      <w:iCs/>
      <w:color w:val="000000" w:themeColor="text1"/>
      <w14:textFill>
        <w14:solidFill>
          <w14:schemeClr w14:val="tx1"/>
        </w14:solidFill>
      </w14:textFill>
    </w:rPr>
  </w:style>
  <w:style w:type="character" w:customStyle="1" w:styleId="52">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3">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54">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55">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6">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7">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8">
    <w:name w:val="Intense Quote"/>
    <w:basedOn w:val="1"/>
    <w:next w:val="1"/>
    <w:link w:val="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9">
    <w:name w:val="Intense Quote Char"/>
    <w:basedOn w:val="11"/>
    <w:link w:val="58"/>
    <w:qFormat/>
    <w:uiPriority w:val="30"/>
    <w:rPr>
      <w:b/>
      <w:bCs/>
      <w:i/>
      <w:iCs/>
      <w:color w:val="4F81BD" w:themeColor="accent1"/>
      <w14:textFill>
        <w14:solidFill>
          <w14:schemeClr w14:val="accent1"/>
        </w14:solidFill>
      </w14:textFill>
    </w:rPr>
  </w:style>
  <w:style w:type="character" w:customStyle="1" w:styleId="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1">
    <w:name w:val="Intense Emphasis"/>
    <w:basedOn w:val="11"/>
    <w:qFormat/>
    <w:uiPriority w:val="21"/>
    <w:rPr>
      <w:b/>
      <w:bCs/>
      <w:i/>
      <w:iCs/>
      <w:color w:val="4F81BD" w:themeColor="accent1"/>
      <w14:textFill>
        <w14:solidFill>
          <w14:schemeClr w14:val="accent1"/>
        </w14:solidFill>
      </w14:textFill>
    </w:rPr>
  </w:style>
  <w:style w:type="character" w:customStyle="1" w:styleId="62">
    <w:name w:val="Subtle Reference"/>
    <w:basedOn w:val="11"/>
    <w:qFormat/>
    <w:uiPriority w:val="31"/>
    <w:rPr>
      <w:smallCaps/>
      <w:color w:val="C0504D" w:themeColor="accent2"/>
      <w:u w:val="single"/>
      <w14:textFill>
        <w14:solidFill>
          <w14:schemeClr w14:val="accent2"/>
        </w14:solidFill>
      </w14:textFill>
    </w:rPr>
  </w:style>
  <w:style w:type="character" w:customStyle="1" w:styleId="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4">
    <w:name w:val="Book Title"/>
    <w:basedOn w:val="11"/>
    <w:qFormat/>
    <w:uiPriority w:val="33"/>
    <w:rPr>
      <w:b/>
      <w:bCs/>
      <w:smallCaps/>
      <w:spacing w:val="5"/>
    </w:rPr>
  </w:style>
  <w:style w:type="paragraph" w:customStyle="1" w:styleId="65">
    <w:name w:val="TOC Heading"/>
    <w:basedOn w:val="2"/>
    <w:next w:val="1"/>
    <w:semiHidden/>
    <w:unhideWhenUsed/>
    <w:qFormat/>
    <w:uiPriority w:val="39"/>
    <w:pPr>
      <w:outlineLvl w:val="9"/>
    </w:pPr>
  </w:style>
  <w:style w:type="table" w:styleId="66">
    <w:name w:val="Light Shading"/>
    <w:basedOn w:val="1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7">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8">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69">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0">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1">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2">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3">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4">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5">
    <w:name w:val="Light List Accent 2"/>
    <w:basedOn w:val="1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6">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7">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8">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79">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0">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1">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2">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3">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4">
    <w:name w:val="Light Grid Accent 4"/>
    <w:basedOn w:val="1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5">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6">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7">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8">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89">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0">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1">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2">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3">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4">
    <w:name w:val="Medium Shading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5">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4"/>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6"/>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2">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3">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4">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5">
    <w:name w:val="Medium List 1 Accent 4"/>
    <w:basedOn w:val="1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6">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7">
    <w:name w:val="Medium List 1 Accent 6"/>
    <w:basedOn w:val="1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8">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09">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6">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7">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8">
    <w:name w:val="Medium Grid 1 Accent 3"/>
    <w:basedOn w:val="1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19">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0">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1">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2">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3">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4">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5">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6">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7">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8">
    <w:name w:val="Medium Grid 2 Accent 6"/>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29">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0">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1">
    <w:name w:val="Medium Grid 3 Accent 2"/>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2">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3">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4">
    <w:name w:val="Medium Grid 3 Accent 5"/>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5">
    <w:name w:val="Medium Grid 3 Accent 6"/>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6">
    <w:name w:val="Dark List"/>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7">
    <w:name w:val="Dark List Accent 1"/>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8">
    <w:name w:val="Dark List Accent 2"/>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39">
    <w:name w:val="Dark List Accent 3"/>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0">
    <w:name w:val="Dark List Accent 4"/>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1">
    <w:name w:val="Dark List Accent 5"/>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2">
    <w:name w:val="Dark List Accent 6"/>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3">
    <w:name w:val="Colorful Shading"/>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4">
    <w:name w:val="Colorful Shading Accent 1"/>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2"/>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7">
    <w:name w:val="Colorful Shading Accent 4"/>
    <w:basedOn w:val="1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5"/>
    <w:basedOn w:val="1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6"/>
    <w:basedOn w:val="1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List"/>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1">
    <w:name w:val="Colorful List Accent 1"/>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2">
    <w:name w:val="Colorful List Accent 2"/>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3">
    <w:name w:val="Colorful List Accent 3"/>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4">
    <w:name w:val="Colorful List Accent 4"/>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5">
    <w:name w:val="Colorful List Accent 5"/>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6">
    <w:name w:val="Colorful List Accent 6"/>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7">
    <w:name w:val="Colorful Grid"/>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8">
    <w:name w:val="Colorful Grid Accent 1"/>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59">
    <w:name w:val="Colorful Grid Accent 2"/>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0">
    <w:name w:val="Colorful Grid Accent 3"/>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1">
    <w:name w:val="Colorful Grid Accent 4"/>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2">
    <w:name w:val="Colorful Grid Accent 5"/>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3">
    <w:name w:val="Colorful Grid Accent 6"/>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1040</Words>
  <Characters>7564</Characters>
  <Lines>0</Lines>
  <Paragraphs>0</Paragraphs>
  <TotalTime>19</TotalTime>
  <ScaleCrop>false</ScaleCrop>
  <LinksUpToDate>false</LinksUpToDate>
  <CharactersWithSpaces>8479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Q</cp:lastModifiedBy>
  <dcterms:modified xsi:type="dcterms:W3CDTF">2026-10-16T08:36:09Z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eyJoZGlkIjoiMzk2NWNjODU2NzUyMzQ0YTljN2E2ZThiYTg5MTFkNzQifQ==</vt:lpwstr>
  </property>
  <property fmtid="{D5CDD505-2E9C-101B-9397-08002B2CF9AE}" pid="3" name="KSOProductBuildVer">
    <vt:lpwstr>1049-12.1.0.29162</vt:lpwstr>
  </property>
  <property fmtid="{D5CDD505-2E9C-101B-9397-08002B2CF9AE}" pid="4" name="ICV">
    <vt:lpwstr>29FFFD192E014EA49BACC30F7DD544CB_12</vt:lpwstr>
  </property>
</Properties>
</file>