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26106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395154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6"/>
        <w:tblW w:w="5791" w:type="pct"/>
        <w:tblInd w:w="-9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0"/>
        <w:gridCol w:w="2954"/>
        <w:gridCol w:w="1277"/>
        <w:gridCol w:w="1157"/>
        <w:gridCol w:w="541"/>
        <w:gridCol w:w="912"/>
        <w:gridCol w:w="1075"/>
        <w:gridCol w:w="1275"/>
        <w:gridCol w:w="1474"/>
      </w:tblGrid>
      <w:tr w14:paraId="5B406F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21" w:hRule="atLeast"/>
        </w:trPr>
        <w:tc>
          <w:tcPr>
            <w:tcW w:w="189" w:type="pct"/>
            <w:shd w:val="clear" w:color="auto" w:fill="8FAAFF"/>
          </w:tcPr>
          <w:p w14:paraId="0022CABB">
            <w:pPr>
              <w:spacing w:line="240" w:lineRule="auto"/>
              <w:ind w:right="44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1332" w:type="pct"/>
            <w:shd w:val="clear" w:color="auto" w:fill="8FAAFF"/>
          </w:tcPr>
          <w:p w14:paraId="51C80574">
            <w:pPr>
              <w:spacing w:line="240" w:lineRule="auto"/>
              <w:ind w:right="44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Наименование цикла обучения</w:t>
            </w:r>
          </w:p>
        </w:tc>
        <w:tc>
          <w:tcPr>
            <w:tcW w:w="576" w:type="pct"/>
            <w:shd w:val="clear" w:color="auto" w:fill="8FAAFF"/>
            <w:textDirection w:val="btLr"/>
          </w:tcPr>
          <w:p w14:paraId="018622B7">
            <w:pPr>
              <w:spacing w:line="240" w:lineRule="auto"/>
              <w:ind w:left="113" w:right="44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Общая продолжительность (в часах)</w:t>
            </w:r>
          </w:p>
        </w:tc>
        <w:tc>
          <w:tcPr>
            <w:tcW w:w="522" w:type="pct"/>
            <w:shd w:val="clear" w:color="auto" w:fill="8FAAFF"/>
          </w:tcPr>
          <w:p w14:paraId="11EE73BE">
            <w:pPr>
              <w:spacing w:line="240" w:lineRule="auto"/>
              <w:ind w:left="-58" w:right="-107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Период проведения цикла</w:t>
            </w:r>
          </w:p>
        </w:tc>
        <w:tc>
          <w:tcPr>
            <w:tcW w:w="244" w:type="pct"/>
            <w:shd w:val="clear" w:color="auto" w:fill="8FAAFF"/>
            <w:textDirection w:val="btLr"/>
          </w:tcPr>
          <w:p w14:paraId="03DAE86A">
            <w:pPr>
              <w:spacing w:line="240" w:lineRule="auto"/>
              <w:ind w:left="113" w:right="44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Кол-во слушателей</w:t>
            </w:r>
          </w:p>
        </w:tc>
        <w:tc>
          <w:tcPr>
            <w:tcW w:w="411" w:type="pct"/>
            <w:shd w:val="clear" w:color="auto" w:fill="8FAAFF"/>
          </w:tcPr>
          <w:p w14:paraId="0012E5D1">
            <w:pPr>
              <w:spacing w:line="240" w:lineRule="auto"/>
              <w:ind w:right="44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Ф.И.О.  слушателей</w:t>
            </w:r>
          </w:p>
        </w:tc>
        <w:tc>
          <w:tcPr>
            <w:tcW w:w="485" w:type="pct"/>
            <w:shd w:val="clear" w:color="auto" w:fill="8FAAFF"/>
            <w:textDirection w:val="btLr"/>
          </w:tcPr>
          <w:p w14:paraId="700740B4">
            <w:pPr>
              <w:spacing w:line="240" w:lineRule="auto"/>
              <w:ind w:left="113" w:right="44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Цена обучения 1-го слушателя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kk-KZ"/>
              </w:rPr>
              <w:t>, тенге, без учета НДС</w:t>
            </w:r>
          </w:p>
        </w:tc>
        <w:tc>
          <w:tcPr>
            <w:tcW w:w="575" w:type="pct"/>
            <w:shd w:val="clear" w:color="auto" w:fill="8FAAFF"/>
          </w:tcPr>
          <w:p w14:paraId="614A1D4F">
            <w:pPr>
              <w:spacing w:line="240" w:lineRule="auto"/>
              <w:ind w:right="44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Общая цена (тенге)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kk-KZ"/>
              </w:rPr>
              <w:t>, без учета НДС</w:t>
            </w:r>
          </w:p>
        </w:tc>
        <w:tc>
          <w:tcPr>
            <w:tcW w:w="665" w:type="pct"/>
            <w:shd w:val="clear" w:color="auto" w:fill="8FAAFF"/>
          </w:tcPr>
          <w:p w14:paraId="73533C62">
            <w:pPr>
              <w:spacing w:line="240" w:lineRule="auto"/>
              <w:ind w:right="44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Место оказания услуг</w:t>
            </w:r>
          </w:p>
        </w:tc>
      </w:tr>
      <w:tr w14:paraId="182201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189" w:type="pct"/>
            <w:vAlign w:val="center"/>
          </w:tcPr>
          <w:p w14:paraId="03E28694">
            <w:pPr>
              <w:spacing w:line="240" w:lineRule="auto"/>
              <w:ind w:right="44"/>
              <w:rPr>
                <w:rFonts w:ascii="Times New Roman" w:hAnsi="Times New Roman" w:eastAsia="Times New Roman" w:cs="Times New Roman"/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332" w:type="pct"/>
          </w:tcPr>
          <w:p w14:paraId="24518461">
            <w:pPr>
              <w:pStyle w:val="4"/>
              <w:spacing w:before="0" w:after="200" w:line="24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ru-RU"/>
              </w:rPr>
              <w:t>Корпоративное управление и финансовая устойчивость медицинских организаций РК: роль Совета директоров и Наблюдательного совета</w:t>
            </w:r>
          </w:p>
        </w:tc>
        <w:tc>
          <w:tcPr>
            <w:tcW w:w="576" w:type="pct"/>
          </w:tcPr>
          <w:p w14:paraId="665041F2">
            <w:pPr>
              <w:pStyle w:val="12"/>
              <w:spacing w:after="200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24</w:t>
            </w:r>
            <w:r>
              <w:rPr>
                <w:bCs/>
                <w:lang w:val="kk-KZ" w:eastAsia="en-US"/>
              </w:rPr>
              <w:t xml:space="preserve"> </w:t>
            </w:r>
            <w:r>
              <w:rPr>
                <w:bCs/>
                <w:lang w:eastAsia="en-US"/>
              </w:rPr>
              <w:t>акад.ч</w:t>
            </w:r>
          </w:p>
        </w:tc>
        <w:tc>
          <w:tcPr>
            <w:tcW w:w="522" w:type="pct"/>
          </w:tcPr>
          <w:p w14:paraId="2FFED069">
            <w:pPr>
              <w:keepNext/>
              <w:spacing w:line="240" w:lineRule="auto"/>
              <w:jc w:val="center"/>
              <w:rPr>
                <w:b/>
                <w:color w:val="000000"/>
                <w:sz w:val="18"/>
                <w:szCs w:val="18"/>
                <w:lang w:val="kk-KZ"/>
              </w:rPr>
            </w:pPr>
            <w:r>
              <w:rPr>
                <w:b/>
                <w:color w:val="000000"/>
                <w:sz w:val="18"/>
                <w:szCs w:val="18"/>
                <w:lang w:val="kk-KZ"/>
              </w:rPr>
              <w:t>До 31 декабр</w:t>
            </w:r>
            <w:r>
              <w:rPr>
                <w:b/>
                <w:color w:val="000000"/>
                <w:sz w:val="18"/>
                <w:szCs w:val="18"/>
                <w:lang w:val="ru-RU"/>
              </w:rPr>
              <w:t xml:space="preserve">я </w:t>
            </w:r>
          </w:p>
        </w:tc>
        <w:tc>
          <w:tcPr>
            <w:tcW w:w="244" w:type="pct"/>
          </w:tcPr>
          <w:p w14:paraId="5D8E0A69">
            <w:pPr>
              <w:spacing w:line="240" w:lineRule="auto"/>
              <w:ind w:right="44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411" w:type="pct"/>
          </w:tcPr>
          <w:p w14:paraId="2D3235D0">
            <w:pPr>
              <w:spacing w:line="240" w:lineRule="auto"/>
              <w:ind w:right="44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485" w:type="pct"/>
          </w:tcPr>
          <w:p w14:paraId="7A4733F7">
            <w:pPr>
              <w:spacing w:line="240" w:lineRule="auto"/>
              <w:ind w:right="44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40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kk-KZ"/>
              </w:rPr>
              <w:t xml:space="preserve"> 000</w:t>
            </w:r>
          </w:p>
        </w:tc>
        <w:tc>
          <w:tcPr>
            <w:tcW w:w="575" w:type="pct"/>
          </w:tcPr>
          <w:p w14:paraId="18A18EE8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/>
              </w:rPr>
              <w:t>8</w:t>
            </w:r>
            <w:bookmarkStart w:id="0" w:name="_GoBack"/>
            <w:bookmarkEnd w:id="0"/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kk-KZ"/>
              </w:rPr>
              <w:t xml:space="preserve"> 000</w:t>
            </w:r>
          </w:p>
        </w:tc>
        <w:tc>
          <w:tcPr>
            <w:tcW w:w="665" w:type="pct"/>
          </w:tcPr>
          <w:p w14:paraId="5AB626DE">
            <w:pPr>
              <w:spacing w:line="240" w:lineRule="auto"/>
              <w:ind w:right="44"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kk-KZ"/>
              </w:rPr>
              <w:t>г. Атырау</w:t>
            </w:r>
          </w:p>
          <w:p w14:paraId="08F41DA5">
            <w:pPr>
              <w:spacing w:line="240" w:lineRule="auto"/>
              <w:ind w:right="44"/>
              <w:rPr>
                <w:rFonts w:ascii="Times New Roman" w:hAnsi="Times New Roman" w:eastAsia="Times New Roman" w:cs="Times New Roman"/>
                <w:color w:val="EE0000"/>
                <w:sz w:val="24"/>
                <w:szCs w:val="24"/>
                <w:lang w:val="kk-KZ"/>
              </w:rPr>
            </w:pPr>
          </w:p>
        </w:tc>
      </w:tr>
    </w:tbl>
    <w:p w14:paraId="3E872E02">
      <w:pPr>
        <w:jc w:val="both"/>
        <w:rPr>
          <w:rFonts w:ascii="Times New Roman" w:hAnsi="Times New Roman" w:eastAsia="Calibri"/>
          <w:b/>
          <w:sz w:val="2"/>
          <w:szCs w:val="2"/>
          <w:lang w:eastAsia="en-US"/>
        </w:rPr>
      </w:pPr>
    </w:p>
    <w:p w14:paraId="75CCCC47">
      <w:pPr>
        <w:pStyle w:val="12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     </w:t>
      </w:r>
      <w:r>
        <w:rPr>
          <w:sz w:val="26"/>
          <w:szCs w:val="26"/>
        </w:rPr>
        <w:t>В соответствии с п. 6 т. 221 Кодекса РК «О здоровье народа и системе здравоохранения», дополнительное образование по медицинским специальностям и неформальное образование медицинских работников осуществляются организациями высшего и (или) послевузовского образования, национальными и научными центрами, научно-исследовательскими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больниц.</w:t>
      </w:r>
    </w:p>
    <w:p w14:paraId="4CC5B80D">
      <w:pPr>
        <w:pStyle w:val="1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Пункт 3 Правил дополнительного и неформального образования специалистов в области здравоохранения и признания результатов обучения, полученных через дополнительное и неформальное образование, утвержденных Приказом МЗ РК от 21 декабря 2020 года № ҚР ДСМ-303/2020, предусматривает аналогичные условия.</w:t>
      </w:r>
    </w:p>
    <w:p w14:paraId="5832B917">
      <w:pPr>
        <w:pStyle w:val="12"/>
        <w:jc w:val="both"/>
        <w:rPr>
          <w:sz w:val="26"/>
          <w:szCs w:val="26"/>
          <w:lang w:val="ru-RU"/>
        </w:rPr>
      </w:pPr>
      <w:r>
        <w:rPr>
          <w:sz w:val="26"/>
          <w:szCs w:val="26"/>
        </w:rPr>
        <w:t xml:space="preserve">   Статус организации высшего и (или) послевузовского образования определяется наличием лицензии на занятие образовательной деятельностью. Статус научной организации присваивается и подтверждается в установленном порядке уполномоченным органом (Министерством здравоохранения) по результатам оценки результативности научной, научно-технической и инновационной деятельности, согласно статьи 225 Кодекса.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2" w:right="850" w:bottom="28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B6FA2C">
    <w:pPr>
      <w:pStyle w:val="10"/>
    </w:pPr>
    <w:r>
      <w:rPr>
        <w:lang w:val="en-US"/>
      </w:rPr>
      <w:t xml:space="preserve">                                                                                                                                                                                  G2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54D9CA">
    <w:pPr>
      <w:pStyle w:val="1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B97548">
    <w:pPr>
      <w:pStyle w:val="1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413F5C">
    <w:pPr>
      <w:pStyle w:val="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57E8DA">
    <w:pPr>
      <w:pStyle w:val="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479273">
    <w:pPr>
      <w:pStyle w:val="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981"/>
    <w:rsid w:val="00001C71"/>
    <w:rsid w:val="0000405B"/>
    <w:rsid w:val="00073DDB"/>
    <w:rsid w:val="00076773"/>
    <w:rsid w:val="000C3B06"/>
    <w:rsid w:val="000E1986"/>
    <w:rsid w:val="000F03F6"/>
    <w:rsid w:val="001322F5"/>
    <w:rsid w:val="001877EB"/>
    <w:rsid w:val="00192B48"/>
    <w:rsid w:val="001A2032"/>
    <w:rsid w:val="001A2F23"/>
    <w:rsid w:val="001A5351"/>
    <w:rsid w:val="001C4CB9"/>
    <w:rsid w:val="001D07A2"/>
    <w:rsid w:val="001F4219"/>
    <w:rsid w:val="00226977"/>
    <w:rsid w:val="00236205"/>
    <w:rsid w:val="00261291"/>
    <w:rsid w:val="00272092"/>
    <w:rsid w:val="00275421"/>
    <w:rsid w:val="00296E27"/>
    <w:rsid w:val="002A0257"/>
    <w:rsid w:val="002A6FC2"/>
    <w:rsid w:val="002D7CE0"/>
    <w:rsid w:val="002E7DE6"/>
    <w:rsid w:val="00324E5B"/>
    <w:rsid w:val="003630AB"/>
    <w:rsid w:val="00367961"/>
    <w:rsid w:val="00375B3A"/>
    <w:rsid w:val="003B3503"/>
    <w:rsid w:val="003B4FBE"/>
    <w:rsid w:val="003B5457"/>
    <w:rsid w:val="003C0C5D"/>
    <w:rsid w:val="003C7C32"/>
    <w:rsid w:val="00404994"/>
    <w:rsid w:val="004062BB"/>
    <w:rsid w:val="00440874"/>
    <w:rsid w:val="004838A7"/>
    <w:rsid w:val="004922A3"/>
    <w:rsid w:val="004A4F3A"/>
    <w:rsid w:val="004A792A"/>
    <w:rsid w:val="004E0CA7"/>
    <w:rsid w:val="004F5889"/>
    <w:rsid w:val="00516CA0"/>
    <w:rsid w:val="005309FE"/>
    <w:rsid w:val="00531F92"/>
    <w:rsid w:val="005756C2"/>
    <w:rsid w:val="00577B71"/>
    <w:rsid w:val="005A70FA"/>
    <w:rsid w:val="005B0358"/>
    <w:rsid w:val="005C67DC"/>
    <w:rsid w:val="0060292D"/>
    <w:rsid w:val="006213D9"/>
    <w:rsid w:val="006358DE"/>
    <w:rsid w:val="00671E75"/>
    <w:rsid w:val="00683A93"/>
    <w:rsid w:val="00702651"/>
    <w:rsid w:val="007152F2"/>
    <w:rsid w:val="00763C9B"/>
    <w:rsid w:val="007828CF"/>
    <w:rsid w:val="007B2D04"/>
    <w:rsid w:val="007D1B6E"/>
    <w:rsid w:val="008121BF"/>
    <w:rsid w:val="00816C56"/>
    <w:rsid w:val="00821169"/>
    <w:rsid w:val="0083131D"/>
    <w:rsid w:val="008413E1"/>
    <w:rsid w:val="00854EE3"/>
    <w:rsid w:val="008622B6"/>
    <w:rsid w:val="008640D2"/>
    <w:rsid w:val="00870ABA"/>
    <w:rsid w:val="008A5BEB"/>
    <w:rsid w:val="008E1FA0"/>
    <w:rsid w:val="00905A11"/>
    <w:rsid w:val="00940F7A"/>
    <w:rsid w:val="00944004"/>
    <w:rsid w:val="009609A9"/>
    <w:rsid w:val="00967360"/>
    <w:rsid w:val="00977DEC"/>
    <w:rsid w:val="0099351E"/>
    <w:rsid w:val="009A73B4"/>
    <w:rsid w:val="009C14BB"/>
    <w:rsid w:val="00A03333"/>
    <w:rsid w:val="00A32839"/>
    <w:rsid w:val="00A41A15"/>
    <w:rsid w:val="00A60456"/>
    <w:rsid w:val="00A71E5B"/>
    <w:rsid w:val="00A8132A"/>
    <w:rsid w:val="00A971A3"/>
    <w:rsid w:val="00AA4B1F"/>
    <w:rsid w:val="00AC077B"/>
    <w:rsid w:val="00AF2981"/>
    <w:rsid w:val="00B20811"/>
    <w:rsid w:val="00B21CF5"/>
    <w:rsid w:val="00B21D3B"/>
    <w:rsid w:val="00B30A76"/>
    <w:rsid w:val="00B66650"/>
    <w:rsid w:val="00B857CD"/>
    <w:rsid w:val="00B95F66"/>
    <w:rsid w:val="00BA1B5B"/>
    <w:rsid w:val="00BC5346"/>
    <w:rsid w:val="00BD0190"/>
    <w:rsid w:val="00BE719A"/>
    <w:rsid w:val="00BE7A75"/>
    <w:rsid w:val="00BF3840"/>
    <w:rsid w:val="00C01E13"/>
    <w:rsid w:val="00C05DDA"/>
    <w:rsid w:val="00C20475"/>
    <w:rsid w:val="00C5146F"/>
    <w:rsid w:val="00C65893"/>
    <w:rsid w:val="00C939E7"/>
    <w:rsid w:val="00CB0F52"/>
    <w:rsid w:val="00CB33AA"/>
    <w:rsid w:val="00CB47B2"/>
    <w:rsid w:val="00CB70B2"/>
    <w:rsid w:val="00CC6B86"/>
    <w:rsid w:val="00CE3492"/>
    <w:rsid w:val="00D137A7"/>
    <w:rsid w:val="00D178FA"/>
    <w:rsid w:val="00D23B0B"/>
    <w:rsid w:val="00D61E15"/>
    <w:rsid w:val="00D708FF"/>
    <w:rsid w:val="00DC77D3"/>
    <w:rsid w:val="00DD0E64"/>
    <w:rsid w:val="00DF1609"/>
    <w:rsid w:val="00E02106"/>
    <w:rsid w:val="00E06327"/>
    <w:rsid w:val="00E26123"/>
    <w:rsid w:val="00E3120C"/>
    <w:rsid w:val="00E33DD3"/>
    <w:rsid w:val="00E344B4"/>
    <w:rsid w:val="00E34514"/>
    <w:rsid w:val="00E64993"/>
    <w:rsid w:val="00E82F0E"/>
    <w:rsid w:val="00ED425E"/>
    <w:rsid w:val="00F35A98"/>
    <w:rsid w:val="00F47A17"/>
    <w:rsid w:val="00F53406"/>
    <w:rsid w:val="00F61C22"/>
    <w:rsid w:val="00F74E54"/>
    <w:rsid w:val="00F82BB0"/>
    <w:rsid w:val="00F96D48"/>
    <w:rsid w:val="00FA25FB"/>
    <w:rsid w:val="00FD4B41"/>
    <w:rsid w:val="00FE0ED3"/>
    <w:rsid w:val="00FE285F"/>
    <w:rsid w:val="00FF0F1D"/>
    <w:rsid w:val="00FF2708"/>
    <w:rsid w:val="00FF483C"/>
    <w:rsid w:val="1A491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zh-CN" w:eastAsia="zh-CN" w:bidi="ar-SA"/>
    </w:rPr>
  </w:style>
  <w:style w:type="paragraph" w:styleId="2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paragraph" w:styleId="3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paragraph" w:styleId="4">
    <w:name w:val="heading 9"/>
    <w:basedOn w:val="1"/>
    <w:next w:val="1"/>
    <w:link w:val="11"/>
    <w:unhideWhenUsed/>
    <w:qFormat/>
    <w:uiPriority w:val="0"/>
    <w:pPr>
      <w:keepNext/>
      <w:keepLines/>
      <w:spacing w:before="40" w:after="0" w:line="259" w:lineRule="auto"/>
      <w:outlineLvl w:val="8"/>
    </w:pPr>
    <w:rPr>
      <w:rFonts w:asciiTheme="majorHAnsi" w:hAnsiTheme="majorHAnsi" w:eastAsiaTheme="majorEastAsia" w:cstheme="majorBidi"/>
      <w:i/>
      <w:iCs/>
      <w:color w:val="262626" w:themeColor="text1" w:themeTint="D9"/>
      <w:sz w:val="21"/>
      <w:szCs w:val="21"/>
      <w:lang w:eastAsia="en-US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Emphasis"/>
    <w:basedOn w:val="5"/>
    <w:qFormat/>
    <w:uiPriority w:val="20"/>
    <w:rPr>
      <w:i/>
      <w:iCs/>
    </w:rPr>
  </w:style>
  <w:style w:type="paragraph" w:styleId="8">
    <w:name w:val="Balloon Text"/>
    <w:basedOn w:val="1"/>
    <w:link w:val="13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9">
    <w:name w:val="header"/>
    <w:basedOn w:val="1"/>
    <w:link w:val="14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0">
    <w:name w:val="footer"/>
    <w:basedOn w:val="1"/>
    <w:link w:val="15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1">
    <w:name w:val="Заголовок 9 Знак"/>
    <w:basedOn w:val="5"/>
    <w:link w:val="4"/>
    <w:qFormat/>
    <w:uiPriority w:val="0"/>
    <w:rPr>
      <w:rFonts w:asciiTheme="majorHAnsi" w:hAnsiTheme="majorHAnsi" w:eastAsiaTheme="majorEastAsia" w:cstheme="majorBidi"/>
      <w:i/>
      <w:iCs/>
      <w:color w:val="262626" w:themeColor="text1" w:themeTint="D9"/>
      <w:sz w:val="21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2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zh-CN" w:eastAsia="ru-RU" w:bidi="ar-SA"/>
    </w:rPr>
  </w:style>
  <w:style w:type="character" w:customStyle="1" w:styleId="13">
    <w:name w:val="Текст выноски Знак"/>
    <w:basedOn w:val="5"/>
    <w:link w:val="8"/>
    <w:semiHidden/>
    <w:qFormat/>
    <w:uiPriority w:val="99"/>
    <w:rPr>
      <w:rFonts w:ascii="Segoe UI" w:hAnsi="Segoe UI" w:cs="Segoe UI" w:eastAsiaTheme="minorEastAsia"/>
      <w:sz w:val="18"/>
      <w:szCs w:val="18"/>
      <w:lang w:eastAsia="ru-RU"/>
    </w:rPr>
  </w:style>
  <w:style w:type="character" w:customStyle="1" w:styleId="14">
    <w:name w:val="Верхний колонтитул Знак"/>
    <w:basedOn w:val="5"/>
    <w:link w:val="9"/>
    <w:uiPriority w:val="99"/>
    <w:rPr>
      <w:rFonts w:eastAsiaTheme="minorEastAsia"/>
      <w:lang w:eastAsia="ru-RU"/>
    </w:rPr>
  </w:style>
  <w:style w:type="character" w:customStyle="1" w:styleId="15">
    <w:name w:val="Нижний колонтитул Знак"/>
    <w:basedOn w:val="5"/>
    <w:link w:val="10"/>
    <w:qFormat/>
    <w:uiPriority w:val="99"/>
    <w:rPr>
      <w:rFonts w:eastAsiaTheme="minorEastAsia"/>
      <w:lang w:eastAsia="ru-RU"/>
    </w:rPr>
  </w:style>
  <w:style w:type="character" w:customStyle="1" w:styleId="16">
    <w:name w:val="Заголовок 2 Знак"/>
    <w:basedOn w:val="5"/>
    <w:link w:val="2"/>
    <w:semiHidden/>
    <w:qFormat/>
    <w:uiPriority w:val="9"/>
    <w:rPr>
      <w:rFonts w:asciiTheme="majorHAnsi" w:hAnsiTheme="majorHAnsi" w:eastAsiaTheme="majorEastAsia" w:cstheme="majorBidi"/>
      <w:color w:val="376092" w:themeColor="accent1" w:themeShade="BF"/>
      <w:sz w:val="26"/>
      <w:szCs w:val="26"/>
      <w:lang w:eastAsia="ru-RU"/>
    </w:rPr>
  </w:style>
  <w:style w:type="character" w:customStyle="1" w:styleId="17">
    <w:name w:val="Заголовок 3 Знак"/>
    <w:basedOn w:val="5"/>
    <w:link w:val="3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1</Pages>
  <Words>191</Words>
  <Characters>1440</Characters>
  <Lines>11</Lines>
  <Paragraphs>3</Paragraphs>
  <TotalTime>2</TotalTime>
  <ScaleCrop>false</ScaleCrop>
  <LinksUpToDate>false</LinksUpToDate>
  <CharactersWithSpaces>1623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2026-06-03T07:30:00Z</dcterms:created>
  <dc:creator>Пользователь</dc:creator>
  <cp:lastModifiedBy>поликлиника 7 Городская</cp:lastModifiedBy>
  <cp:lastPrinted>2017-11-24T06:08:00Z</cp:lastPrinted>
  <dcterms:modified xsi:type="dcterms:W3CDTF">2026-10-22T10:13:30Z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eyJoZGlkIjoiZDc1ZGE1ZGQwZTVlODIwOTg4NGM3YmNmNzk0M2ViNzgiLCJ1c2VySWQiOiI1MzYwMTIxMzQ5NDUzIn0=</vt:lpwstr>
  </property>
  <property fmtid="{D5CDD505-2E9C-101B-9397-08002B2CF9AE}" pid="3" name="KSOProductBuildVer">
    <vt:lpwstr>1049-12.1.0.29162</vt:lpwstr>
  </property>
  <property fmtid="{D5CDD505-2E9C-101B-9397-08002B2CF9AE}" pid="4" name="ICV">
    <vt:lpwstr>28CA70D032EB4F628345205D01220E63_13</vt:lpwstr>
  </property>
</Properties>
</file>