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633B" w:rsidRDefault="004E633B">
      <w:pPr>
        <w:pStyle w:val="a4"/>
        <w:pBdr>
          <w:bottom w:val="single" w:sz="8" w:space="9" w:color="4F81BD"/>
        </w:pBdr>
        <w:spacing w:after="0"/>
        <w:jc w:val="center"/>
        <w:rPr>
          <w:rFonts w:ascii="Times New Roman" w:eastAsia="Times New Roman" w:hAnsi="Times New Roman" w:cs="Times New Roman"/>
          <w:color w:val="000000"/>
          <w:sz w:val="20"/>
          <w:szCs w:val="20"/>
        </w:rPr>
      </w:pPr>
    </w:p>
    <w:p w:rsidR="004E633B" w:rsidRDefault="005500F0">
      <w:pPr>
        <w:pStyle w:val="a4"/>
        <w:pBdr>
          <w:bottom w:val="single" w:sz="8" w:space="9" w:color="4F81BD"/>
        </w:pBd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ТЕХНИКАЛЫҚ ЕРЕКШЕЛІК</w:t>
      </w:r>
    </w:p>
    <w:p w:rsidR="004E633B" w:rsidRDefault="005500F0">
      <w:pPr>
        <w:spacing w:after="0"/>
        <w:jc w:val="center"/>
        <w:rPr>
          <w:sz w:val="20"/>
          <w:szCs w:val="20"/>
        </w:rPr>
      </w:pPr>
      <w:r>
        <w:rPr>
          <w:b/>
          <w:bCs/>
          <w:sz w:val="20"/>
          <w:szCs w:val="20"/>
        </w:rPr>
        <w:t>орта білім беру ұйымының медициналық пунктін цифрлық медициналық бұйымдармен және телемедициналық жүйемен жарақтандыру және жұмыс істеуін қамтамасыз ету жөніндегі кешенді қызметті сатып алуға</w:t>
      </w:r>
    </w:p>
    <w:tbl>
      <w:tblPr>
        <w:tblStyle w:val="affb"/>
        <w:tblW w:w="10540" w:type="dxa"/>
        <w:jc w:val="center"/>
        <w:tblLayout w:type="fixed"/>
        <w:tblLook w:val="0400" w:firstRow="0" w:lastRow="0" w:firstColumn="0" w:lastColumn="0" w:noHBand="0" w:noVBand="1"/>
      </w:tblPr>
      <w:tblGrid>
        <w:gridCol w:w="2552"/>
        <w:gridCol w:w="7988"/>
      </w:tblGrid>
      <w:tr w:rsidR="004E633B">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b/>
                <w:bCs/>
                <w:color w:val="000000"/>
                <w:sz w:val="20"/>
                <w:szCs w:val="20"/>
              </w:rPr>
              <w:t>Қызметтің атауы</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color w:val="000000"/>
                <w:sz w:val="20"/>
                <w:szCs w:val="20"/>
              </w:rPr>
              <w:t>Орта (бастауыш, негізгі орта, жалпы орта) білім беру ұйымының медициналық пунктін цифрлық медициналық бұйымдармен және телемедициналық жүйемен жарақтандыру, қосу, техникалық сүйемелдеу және жұмыс істеуін қамтамасыз ету жөніндегі кешенді қызмет.</w:t>
            </w:r>
          </w:p>
        </w:tc>
      </w:tr>
      <w:tr w:rsidR="004E633B">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b/>
                <w:bCs/>
                <w:color w:val="000000"/>
                <w:sz w:val="20"/>
                <w:szCs w:val="20"/>
              </w:rPr>
              <w:t>Өлшем бірлігі</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color w:val="000000"/>
                <w:sz w:val="20"/>
                <w:szCs w:val="20"/>
              </w:rPr>
              <w:t>Шарттың қолданылу кезеңіне бір объектіге (білім беру ұйымының медициналық пунктіне) бір қызмет.</w:t>
            </w:r>
          </w:p>
        </w:tc>
      </w:tr>
      <w:tr w:rsidR="004E633B">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b/>
                <w:bCs/>
                <w:color w:val="000000"/>
                <w:sz w:val="20"/>
                <w:szCs w:val="20"/>
              </w:rPr>
              <w:t>Объектілер саны</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color w:val="000000"/>
                <w:sz w:val="20"/>
                <w:szCs w:val="20"/>
              </w:rPr>
              <w:t>1</w:t>
            </w:r>
          </w:p>
        </w:tc>
      </w:tr>
      <w:tr w:rsidR="00B15908">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rsidR="00B15908" w:rsidRPr="00B15908" w:rsidRDefault="00B15908">
            <w:pPr>
              <w:pBdr>
                <w:top w:val="nil"/>
                <w:left w:val="nil"/>
                <w:bottom w:val="nil"/>
                <w:right w:val="nil"/>
                <w:between w:val="nil"/>
              </w:pBdr>
              <w:spacing w:after="0" w:line="240" w:lineRule="auto"/>
              <w:rPr>
                <w:b/>
                <w:bCs/>
                <w:color w:val="000000"/>
                <w:sz w:val="20"/>
                <w:szCs w:val="20"/>
                <w:lang w:val="kk-KZ"/>
              </w:rPr>
            </w:pPr>
            <w:r>
              <w:rPr>
                <w:b/>
                <w:bCs/>
                <w:color w:val="000000"/>
                <w:sz w:val="20"/>
                <w:szCs w:val="20"/>
                <w:lang w:val="kk-KZ"/>
              </w:rPr>
              <w:t xml:space="preserve">Медициналық жабдық саны </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rsidR="00B15908" w:rsidRPr="00B15908" w:rsidRDefault="00EA3EA1">
            <w:pPr>
              <w:pBdr>
                <w:top w:val="nil"/>
                <w:left w:val="nil"/>
                <w:bottom w:val="nil"/>
                <w:right w:val="nil"/>
                <w:between w:val="nil"/>
              </w:pBdr>
              <w:spacing w:after="0" w:line="240" w:lineRule="auto"/>
              <w:rPr>
                <w:color w:val="000000"/>
                <w:sz w:val="20"/>
                <w:szCs w:val="20"/>
                <w:lang w:val="kk-KZ"/>
              </w:rPr>
            </w:pPr>
            <w:r>
              <w:rPr>
                <w:color w:val="000000"/>
                <w:sz w:val="20"/>
                <w:szCs w:val="20"/>
                <w:lang w:val="en-US"/>
              </w:rPr>
              <w:t>2</w:t>
            </w:r>
            <w:bookmarkStart w:id="0" w:name="_GoBack"/>
            <w:bookmarkEnd w:id="0"/>
            <w:r w:rsidR="00B15908">
              <w:rPr>
                <w:color w:val="000000"/>
                <w:sz w:val="20"/>
                <w:szCs w:val="20"/>
                <w:lang w:val="kk-KZ"/>
              </w:rPr>
              <w:t xml:space="preserve"> жинақ</w:t>
            </w:r>
          </w:p>
        </w:tc>
      </w:tr>
      <w:tr w:rsidR="004E633B">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b/>
                <w:bCs/>
                <w:color w:val="000000"/>
                <w:sz w:val="20"/>
                <w:szCs w:val="20"/>
              </w:rPr>
            </w:pPr>
            <w:r>
              <w:rPr>
                <w:b/>
                <w:bCs/>
                <w:color w:val="000000"/>
                <w:sz w:val="20"/>
                <w:szCs w:val="20"/>
              </w:rPr>
              <w:t>Қызметтерді көрсету мерзімі</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sz w:val="20"/>
                <w:szCs w:val="20"/>
              </w:rPr>
              <w:t>Жабдықты облыс орталығында Тапсырыс берушіге беру актісі</w:t>
            </w:r>
            <w:r w:rsidR="00B15908">
              <w:rPr>
                <w:sz w:val="20"/>
                <w:szCs w:val="20"/>
              </w:rPr>
              <w:t xml:space="preserve">не қол қойылған күннен бастап </w:t>
            </w:r>
            <w:r w:rsidR="00B15908" w:rsidRPr="00B15908">
              <w:rPr>
                <w:sz w:val="20"/>
                <w:szCs w:val="20"/>
              </w:rPr>
              <w:t>3</w:t>
            </w:r>
            <w:r>
              <w:rPr>
                <w:sz w:val="20"/>
                <w:szCs w:val="20"/>
              </w:rPr>
              <w:t xml:space="preserve"> ай</w:t>
            </w:r>
          </w:p>
        </w:tc>
      </w:tr>
      <w:tr w:rsidR="004E633B">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b/>
                <w:bCs/>
                <w:color w:val="000000"/>
                <w:sz w:val="20"/>
                <w:szCs w:val="20"/>
              </w:rPr>
            </w:pPr>
            <w:r>
              <w:rPr>
                <w:b/>
                <w:bCs/>
                <w:color w:val="000000"/>
                <w:sz w:val="20"/>
                <w:szCs w:val="20"/>
              </w:rPr>
              <w:t>Жабдықты жеткізу мерзімі</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color w:val="000000"/>
                <w:sz w:val="20"/>
                <w:szCs w:val="20"/>
              </w:rPr>
              <w:t>Шарт</w:t>
            </w:r>
            <w:r w:rsidR="00B83865">
              <w:rPr>
                <w:color w:val="000000"/>
                <w:sz w:val="20"/>
                <w:szCs w:val="20"/>
              </w:rPr>
              <w:t xml:space="preserve">қа қол қойылған күннен бастап </w:t>
            </w:r>
            <w:r w:rsidR="00B83865">
              <w:rPr>
                <w:color w:val="000000"/>
                <w:sz w:val="20"/>
                <w:szCs w:val="20"/>
                <w:lang w:val="kk-KZ"/>
              </w:rPr>
              <w:t>15</w:t>
            </w:r>
            <w:r>
              <w:rPr>
                <w:color w:val="000000"/>
                <w:sz w:val="20"/>
                <w:szCs w:val="20"/>
              </w:rPr>
              <w:t xml:space="preserve"> күнтізбелік күн ішінде облыс орталығына (Тапсырыс беруші көрсеткен мекенжайға)</w:t>
            </w:r>
          </w:p>
        </w:tc>
      </w:tr>
      <w:tr w:rsidR="004E633B">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b/>
                <w:bCs/>
                <w:color w:val="000000"/>
                <w:sz w:val="20"/>
                <w:szCs w:val="20"/>
              </w:rPr>
              <w:t>Қызметті көрсету орны</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color w:val="000000"/>
                <w:sz w:val="20"/>
                <w:szCs w:val="20"/>
              </w:rPr>
              <w:t>Жабдықты жеткізу орны – облыс орталығы (Тапсырыс беруші көрсеткен мекенжай). Жабдықты облыс орталығынан объектілерге тасымалдауды Тапсырыс беруші қамтамасыз етеді. Қосу, баптау, оқыту және техникалық қолдау Тапсырыс берушінің объектілер тізбесіне (осы техникалық ерекшелікке 1-қосымша) сәйкес қашықтықтан көрсетіледі.</w:t>
            </w:r>
          </w:p>
        </w:tc>
      </w:tr>
      <w:tr w:rsidR="004E633B">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b/>
                <w:bCs/>
                <w:color w:val="000000"/>
                <w:sz w:val="20"/>
                <w:szCs w:val="20"/>
              </w:rPr>
              <w:t>Қызметті көрсету моделі</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color w:val="000000"/>
                <w:sz w:val="20"/>
                <w:szCs w:val="20"/>
              </w:rPr>
              <w:t>Медициналық бұйымдар мен жабдықты Жеткізуші қызмет көрсету мерзіміне уақытша пайдалануға береді, бұл ретте меншік құқығы Тапсырыс берушіге өтпейді.</w:t>
            </w:r>
          </w:p>
        </w:tc>
      </w:tr>
    </w:tbl>
    <w:p w:rsidR="004E633B" w:rsidRDefault="004E633B">
      <w:pPr>
        <w:spacing w:after="0"/>
        <w:rPr>
          <w:sz w:val="20"/>
          <w:szCs w:val="20"/>
        </w:rPr>
      </w:pPr>
    </w:p>
    <w:p w:rsidR="004E633B" w:rsidRDefault="004E633B">
      <w:pPr>
        <w:spacing w:after="0"/>
        <w:rPr>
          <w:sz w:val="20"/>
          <w:szCs w:val="20"/>
        </w:rPr>
      </w:pPr>
    </w:p>
    <w:tbl>
      <w:tblPr>
        <w:tblStyle w:val="affc"/>
        <w:tblW w:w="105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3"/>
        <w:gridCol w:w="1559"/>
        <w:gridCol w:w="7177"/>
        <w:gridCol w:w="1400"/>
      </w:tblGrid>
      <w:tr w:rsidR="004E633B">
        <w:trPr>
          <w:tblHeader/>
          <w:jc w:val="center"/>
        </w:trPr>
        <w:tc>
          <w:tcPr>
            <w:tcW w:w="423"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jc w:val="center"/>
              <w:rPr>
                <w:color w:val="000000"/>
                <w:sz w:val="20"/>
                <w:szCs w:val="20"/>
              </w:rPr>
            </w:pPr>
            <w:r>
              <w:rPr>
                <w:b/>
                <w:bCs/>
                <w:color w:val="000000"/>
                <w:sz w:val="20"/>
                <w:szCs w:val="20"/>
              </w:rPr>
              <w:t>№</w:t>
            </w:r>
          </w:p>
        </w:tc>
        <w:tc>
          <w:tcPr>
            <w:tcW w:w="1559"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jc w:val="center"/>
              <w:rPr>
                <w:color w:val="000000"/>
                <w:sz w:val="20"/>
                <w:szCs w:val="20"/>
              </w:rPr>
            </w:pPr>
            <w:r>
              <w:rPr>
                <w:b/>
                <w:bCs/>
                <w:color w:val="000000"/>
                <w:sz w:val="20"/>
                <w:szCs w:val="20"/>
              </w:rPr>
              <w:t>Сипаттамалар түрі</w:t>
            </w:r>
          </w:p>
        </w:tc>
        <w:tc>
          <w:tcPr>
            <w:tcW w:w="7177"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jc w:val="center"/>
              <w:rPr>
                <w:color w:val="000000"/>
                <w:sz w:val="20"/>
                <w:szCs w:val="20"/>
              </w:rPr>
            </w:pPr>
            <w:r>
              <w:rPr>
                <w:b/>
                <w:bCs/>
                <w:color w:val="000000"/>
                <w:sz w:val="20"/>
                <w:szCs w:val="20"/>
              </w:rPr>
              <w:t>Талаптардың сипаттамасы</w:t>
            </w:r>
          </w:p>
        </w:tc>
        <w:tc>
          <w:tcPr>
            <w:tcW w:w="1400"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jc w:val="center"/>
              <w:rPr>
                <w:color w:val="000000"/>
                <w:sz w:val="20"/>
                <w:szCs w:val="20"/>
              </w:rPr>
            </w:pPr>
            <w:r>
              <w:rPr>
                <w:b/>
                <w:bCs/>
                <w:color w:val="000000"/>
                <w:sz w:val="20"/>
                <w:szCs w:val="20"/>
              </w:rPr>
              <w:t>Талап түрі</w:t>
            </w:r>
          </w:p>
        </w:tc>
      </w:tr>
      <w:tr w:rsidR="004E633B">
        <w:trPr>
          <w:cantSplit/>
          <w:jc w:val="center"/>
        </w:trPr>
        <w:tc>
          <w:tcPr>
            <w:tcW w:w="423"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jc w:val="center"/>
              <w:rPr>
                <w:color w:val="000000"/>
                <w:sz w:val="20"/>
                <w:szCs w:val="20"/>
              </w:rPr>
            </w:pPr>
            <w:r>
              <w:rPr>
                <w:color w:val="000000"/>
                <w:sz w:val="20"/>
                <w:szCs w:val="20"/>
              </w:rPr>
              <w:t>1</w:t>
            </w:r>
          </w:p>
        </w:tc>
        <w:tc>
          <w:tcPr>
            <w:tcW w:w="1559"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b/>
                <w:bCs/>
                <w:color w:val="000000"/>
                <w:sz w:val="20"/>
                <w:szCs w:val="20"/>
              </w:rPr>
              <w:t>Қызметке қойылатын жалпы талаптар</w:t>
            </w:r>
          </w:p>
        </w:tc>
        <w:tc>
          <w:tcPr>
            <w:tcW w:w="7177"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color w:val="000000"/>
                <w:sz w:val="20"/>
                <w:szCs w:val="20"/>
              </w:rPr>
              <w:t>Жеткізуші «кілт тапсырымен» кешенді қызмет көрсетеді, оның ішінде: медициналық бұйымдарды уақытша пайдалануға беру; облыс орталығына жеткізу; алдын ала баптау; орнатуды және телемедициналық жүйеге қосуды қашықтықтан сүйемелдеу; пайдалануға енгізу; оқыту; техникалық қызмет көрсету, жөндеу және ауыстыру; лицензиялар мен жаңартуларды беру; техникалық қолдау және ай сайынғы есептілік. Қызметті толық көрсету үшін қажетті барлық шығыстар шарттың құнына енгізіледі.</w:t>
            </w:r>
          </w:p>
        </w:tc>
        <w:tc>
          <w:tcPr>
            <w:tcW w:w="1400"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4E633B">
        <w:trPr>
          <w:cantSplit/>
          <w:jc w:val="center"/>
        </w:trPr>
        <w:tc>
          <w:tcPr>
            <w:tcW w:w="423"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jc w:val="center"/>
              <w:rPr>
                <w:color w:val="000000"/>
                <w:sz w:val="20"/>
                <w:szCs w:val="20"/>
              </w:rPr>
            </w:pPr>
            <w:r>
              <w:rPr>
                <w:color w:val="000000"/>
                <w:sz w:val="20"/>
                <w:szCs w:val="20"/>
              </w:rPr>
              <w:t>2</w:t>
            </w:r>
          </w:p>
        </w:tc>
        <w:tc>
          <w:tcPr>
            <w:tcW w:w="1559"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b/>
                <w:bCs/>
                <w:color w:val="000000"/>
                <w:sz w:val="20"/>
                <w:szCs w:val="20"/>
              </w:rPr>
              <w:t>Нормативтік талаптар</w:t>
            </w:r>
          </w:p>
        </w:tc>
        <w:tc>
          <w:tcPr>
            <w:tcW w:w="7177"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color w:val="000000"/>
                <w:sz w:val="20"/>
                <w:szCs w:val="20"/>
              </w:rPr>
              <w:t>Қызмет Қазақстан Республикасының денсаулық сақтау, мемлекеттік сатып алу, дербес деректер, ақпараттандыру, санитариялық-эпидемиологиялық саламаттылық, электр қауіпсіздігі және еңбекті қорғау туралы заңнамасын сақтай отырып көрсетіледі. Тіркеуге жататын медициналық бұйымдардың Қазақстан Республикасының аумағында айналысқа жіберуге мүмкіндік беретін Қазақстан Республикасының және/немесе ЕАЭО-ның қолданыстағы тіркеу куәлігі болуға тиіс.</w:t>
            </w:r>
          </w:p>
        </w:tc>
        <w:tc>
          <w:tcPr>
            <w:tcW w:w="1400"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4E633B">
        <w:trPr>
          <w:cantSplit/>
          <w:jc w:val="center"/>
        </w:trPr>
        <w:tc>
          <w:tcPr>
            <w:tcW w:w="423"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jc w:val="center"/>
              <w:rPr>
                <w:color w:val="000000"/>
                <w:sz w:val="20"/>
                <w:szCs w:val="20"/>
              </w:rPr>
            </w:pPr>
            <w:r>
              <w:rPr>
                <w:color w:val="000000"/>
                <w:sz w:val="20"/>
                <w:szCs w:val="20"/>
              </w:rPr>
              <w:lastRenderedPageBreak/>
              <w:t>3</w:t>
            </w:r>
          </w:p>
        </w:tc>
        <w:tc>
          <w:tcPr>
            <w:tcW w:w="1559"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b/>
                <w:bCs/>
                <w:color w:val="000000"/>
                <w:sz w:val="20"/>
                <w:szCs w:val="20"/>
              </w:rPr>
              <w:t>Бір объектіге арналған базалық жиынтықтың құрамы</w:t>
            </w:r>
          </w:p>
        </w:tc>
        <w:tc>
          <w:tcPr>
            <w:tcW w:w="7177"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color w:val="000000"/>
                <w:sz w:val="20"/>
                <w:szCs w:val="20"/>
              </w:rPr>
              <w:t>1. Цифрлық стетофонендоскоп – 1 бірлік.</w:t>
            </w:r>
          </w:p>
          <w:p w:rsidR="004E633B" w:rsidRDefault="005500F0">
            <w:pPr>
              <w:pBdr>
                <w:top w:val="nil"/>
                <w:left w:val="nil"/>
                <w:bottom w:val="nil"/>
                <w:right w:val="nil"/>
                <w:between w:val="nil"/>
              </w:pBdr>
              <w:spacing w:after="0" w:line="240" w:lineRule="auto"/>
              <w:rPr>
                <w:color w:val="000000"/>
                <w:sz w:val="20"/>
                <w:szCs w:val="20"/>
              </w:rPr>
            </w:pPr>
            <w:r>
              <w:rPr>
                <w:color w:val="000000"/>
                <w:sz w:val="20"/>
                <w:szCs w:val="20"/>
              </w:rPr>
              <w:t>2. Цифрлық пульсоксиметр – 1 бірлік.</w:t>
            </w:r>
          </w:p>
          <w:p w:rsidR="004E633B" w:rsidRDefault="005500F0">
            <w:pPr>
              <w:pBdr>
                <w:top w:val="nil"/>
                <w:left w:val="nil"/>
                <w:bottom w:val="nil"/>
                <w:right w:val="nil"/>
                <w:between w:val="nil"/>
              </w:pBdr>
              <w:spacing w:after="0" w:line="240" w:lineRule="auto"/>
              <w:rPr>
                <w:color w:val="000000"/>
                <w:sz w:val="20"/>
                <w:szCs w:val="20"/>
              </w:rPr>
            </w:pPr>
            <w:r>
              <w:rPr>
                <w:sz w:val="20"/>
                <w:szCs w:val="20"/>
              </w:rPr>
              <w:t>3</w:t>
            </w:r>
            <w:r>
              <w:rPr>
                <w:color w:val="000000"/>
                <w:sz w:val="20"/>
                <w:szCs w:val="20"/>
              </w:rPr>
              <w:t>. Цифрлық отоскоп – 1 бірлік.</w:t>
            </w:r>
          </w:p>
          <w:p w:rsidR="004E633B" w:rsidRDefault="005500F0">
            <w:pPr>
              <w:pBdr>
                <w:top w:val="nil"/>
                <w:left w:val="nil"/>
                <w:bottom w:val="nil"/>
                <w:right w:val="nil"/>
                <w:between w:val="nil"/>
              </w:pBdr>
              <w:spacing w:after="0" w:line="240" w:lineRule="auto"/>
              <w:rPr>
                <w:color w:val="000000"/>
                <w:sz w:val="20"/>
                <w:szCs w:val="20"/>
              </w:rPr>
            </w:pPr>
            <w:r>
              <w:rPr>
                <w:sz w:val="20"/>
                <w:szCs w:val="20"/>
              </w:rPr>
              <w:t>4</w:t>
            </w:r>
            <w:r>
              <w:rPr>
                <w:color w:val="000000"/>
                <w:sz w:val="20"/>
                <w:szCs w:val="20"/>
              </w:rPr>
              <w:t>. Цифрлық тамақ камерасы – 1 бірлік.</w:t>
            </w:r>
          </w:p>
          <w:p w:rsidR="004E633B" w:rsidRDefault="005500F0">
            <w:pPr>
              <w:pBdr>
                <w:top w:val="nil"/>
                <w:left w:val="nil"/>
                <w:bottom w:val="nil"/>
                <w:right w:val="nil"/>
                <w:between w:val="nil"/>
              </w:pBdr>
              <w:spacing w:after="0" w:line="240" w:lineRule="auto"/>
              <w:rPr>
                <w:color w:val="000000"/>
                <w:sz w:val="20"/>
                <w:szCs w:val="20"/>
              </w:rPr>
            </w:pPr>
            <w:r>
              <w:rPr>
                <w:sz w:val="20"/>
                <w:szCs w:val="20"/>
              </w:rPr>
              <w:t>5</w:t>
            </w:r>
            <w:r>
              <w:rPr>
                <w:color w:val="000000"/>
                <w:sz w:val="20"/>
                <w:szCs w:val="20"/>
              </w:rPr>
              <w:t>. Телемедициналық жүйе – 1 жиынтық.</w:t>
            </w:r>
          </w:p>
          <w:p w:rsidR="004E633B" w:rsidRDefault="005500F0">
            <w:pPr>
              <w:pBdr>
                <w:top w:val="nil"/>
                <w:left w:val="nil"/>
                <w:bottom w:val="nil"/>
                <w:right w:val="nil"/>
                <w:between w:val="nil"/>
              </w:pBdr>
              <w:spacing w:after="0" w:line="240" w:lineRule="auto"/>
              <w:rPr>
                <w:sz w:val="20"/>
                <w:szCs w:val="20"/>
              </w:rPr>
            </w:pPr>
            <w:r>
              <w:rPr>
                <w:sz w:val="20"/>
                <w:szCs w:val="20"/>
              </w:rPr>
              <w:t>6. Көпарналы сандық Электрокардиограф  – 1 жиынтық.</w:t>
            </w:r>
          </w:p>
          <w:p w:rsidR="004E633B" w:rsidRDefault="004E633B">
            <w:pPr>
              <w:pBdr>
                <w:top w:val="nil"/>
                <w:left w:val="nil"/>
                <w:bottom w:val="nil"/>
                <w:right w:val="nil"/>
                <w:between w:val="nil"/>
              </w:pBdr>
              <w:spacing w:after="0" w:line="240" w:lineRule="auto"/>
              <w:rPr>
                <w:sz w:val="20"/>
                <w:szCs w:val="20"/>
              </w:rPr>
            </w:pPr>
          </w:p>
          <w:p w:rsidR="004E633B" w:rsidRDefault="004E633B">
            <w:pPr>
              <w:pBdr>
                <w:top w:val="nil"/>
                <w:left w:val="nil"/>
                <w:bottom w:val="nil"/>
                <w:right w:val="nil"/>
                <w:between w:val="nil"/>
              </w:pBdr>
              <w:spacing w:after="0" w:line="240" w:lineRule="auto"/>
              <w:rPr>
                <w:sz w:val="20"/>
                <w:szCs w:val="20"/>
              </w:rPr>
            </w:pPr>
          </w:p>
          <w:p w:rsidR="004E633B" w:rsidRDefault="005500F0">
            <w:pPr>
              <w:pBdr>
                <w:top w:val="nil"/>
                <w:left w:val="nil"/>
                <w:bottom w:val="nil"/>
                <w:right w:val="nil"/>
                <w:between w:val="nil"/>
              </w:pBdr>
              <w:spacing w:after="0" w:line="240" w:lineRule="auto"/>
              <w:rPr>
                <w:color w:val="000000"/>
                <w:sz w:val="20"/>
                <w:szCs w:val="20"/>
              </w:rPr>
            </w:pPr>
            <w:r>
              <w:rPr>
                <w:color w:val="000000"/>
                <w:sz w:val="20"/>
                <w:szCs w:val="20"/>
              </w:rPr>
              <w:t>Жиынтыққа штаттық керек-жарақтар, кабельдер, зарядтау құрылғылары, аккумуляторлар, лицензиялар және бастапқы шығыс материалдары кіреді.</w:t>
            </w:r>
          </w:p>
          <w:p w:rsidR="004E633B" w:rsidRDefault="005500F0">
            <w:pPr>
              <w:pBdr>
                <w:top w:val="nil"/>
                <w:left w:val="nil"/>
                <w:bottom w:val="nil"/>
                <w:right w:val="nil"/>
                <w:between w:val="nil"/>
              </w:pBdr>
              <w:spacing w:after="0" w:line="240" w:lineRule="auto"/>
              <w:rPr>
                <w:color w:val="000000"/>
                <w:sz w:val="20"/>
                <w:szCs w:val="20"/>
              </w:rPr>
            </w:pPr>
            <w:r>
              <w:rPr>
                <w:color w:val="000000"/>
                <w:sz w:val="20"/>
                <w:szCs w:val="20"/>
              </w:rPr>
              <w:t>Тиісті функциялар тіркеу куәлігімен және өндірушінің пайдалану құжаттамасымен расталған жағдайда, бірнеше позицияны бір көпфункциялы медициналық бұйымның құрамында орындауға жол беріледі.</w:t>
            </w:r>
          </w:p>
        </w:tc>
        <w:tc>
          <w:tcPr>
            <w:tcW w:w="1400"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4E633B">
        <w:trPr>
          <w:cantSplit/>
          <w:jc w:val="center"/>
        </w:trPr>
        <w:tc>
          <w:tcPr>
            <w:tcW w:w="42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4E633B" w:rsidRDefault="005500F0">
            <w:pPr>
              <w:spacing w:after="0"/>
              <w:jc w:val="center"/>
              <w:rPr>
                <w:sz w:val="20"/>
                <w:szCs w:val="20"/>
              </w:rPr>
            </w:pPr>
            <w:r>
              <w:rPr>
                <w:sz w:val="20"/>
                <w:szCs w:val="20"/>
              </w:rPr>
              <w:t>4</w:t>
            </w:r>
          </w:p>
        </w:tc>
        <w:tc>
          <w:tcPr>
            <w:tcW w:w="1559" w:type="dxa"/>
            <w:tcBorders>
              <w:top w:val="single" w:sz="6" w:space="0" w:color="000000"/>
              <w:left w:val="nil"/>
              <w:bottom w:val="single" w:sz="6" w:space="0" w:color="000000"/>
              <w:right w:val="single" w:sz="6" w:space="0" w:color="000000"/>
            </w:tcBorders>
            <w:tcMar>
              <w:top w:w="60" w:type="dxa"/>
              <w:left w:w="60" w:type="dxa"/>
              <w:bottom w:w="60" w:type="dxa"/>
              <w:right w:w="60" w:type="dxa"/>
            </w:tcMar>
          </w:tcPr>
          <w:p w:rsidR="004E633B" w:rsidRDefault="005500F0">
            <w:pPr>
              <w:spacing w:after="0"/>
              <w:rPr>
                <w:b/>
                <w:bCs/>
                <w:sz w:val="20"/>
                <w:szCs w:val="20"/>
              </w:rPr>
            </w:pPr>
            <w:r>
              <w:rPr>
                <w:b/>
                <w:bCs/>
                <w:sz w:val="20"/>
                <w:szCs w:val="20"/>
              </w:rPr>
              <w:t>Цифрлық көпарналы электрокардиограф</w:t>
            </w:r>
          </w:p>
        </w:tc>
        <w:tc>
          <w:tcPr>
            <w:tcW w:w="7177" w:type="dxa"/>
            <w:tcBorders>
              <w:top w:val="single" w:sz="6" w:space="0" w:color="000000"/>
              <w:left w:val="nil"/>
              <w:bottom w:val="single" w:sz="6" w:space="0" w:color="000000"/>
              <w:right w:val="single" w:sz="6" w:space="0" w:color="000000"/>
            </w:tcBorders>
            <w:tcMar>
              <w:top w:w="60" w:type="dxa"/>
              <w:left w:w="60" w:type="dxa"/>
              <w:bottom w:w="60" w:type="dxa"/>
              <w:right w:w="60" w:type="dxa"/>
            </w:tcMar>
          </w:tcPr>
          <w:p w:rsidR="004E633B" w:rsidRDefault="005500F0">
            <w:pPr>
              <w:spacing w:after="0"/>
              <w:rPr>
                <w:sz w:val="20"/>
                <w:szCs w:val="20"/>
              </w:rPr>
            </w:pPr>
            <w:r>
              <w:rPr>
                <w:sz w:val="20"/>
                <w:szCs w:val="20"/>
              </w:rPr>
              <w:t>Мақсаты: оқушының ЭКГ-сын тіркеу, сақтау және беру. Ең төменгі талаптар: 12 стандартты бұрманы бір мезгілде тіркеу; толық 12 арналы есеппен кемінде 6 тіркеу/басып шығару арнасы; дискреттеу жиілігі кемінде 500 Гц; кіріс кедергісі кемінде 10 МОм; синфазалық кедергіні басу кемінде 100 дБ; жазу жылдамдықтары 25 және 50 мм/с; сезімталдығы 5, 10 және 20 мм/мВ; желілік кедергі, дрейф және бұлшықет тремор сүзгілері; балалар мен ересектерге арналған режимдер; аралықтарды автоматты өлшеу; кемінде 100 зерттеу жады не телемедициналық жүйеде сақтау; PDF және машинамен оқылатын форматқа экспорттау; USB/Wi-Fi/Bluetooth/Ethernet; автономды жұмыс кемінде 2 сағат. Жиынтығы: пациент кабелі, ересектер мен балаларға арналған электродтар, қоректену көзі, аккумулятор, кейс, принтер болған жағдайда қағаз.</w:t>
            </w:r>
          </w:p>
        </w:tc>
        <w:tc>
          <w:tcPr>
            <w:tcW w:w="1400" w:type="dxa"/>
            <w:tcMar>
              <w:top w:w="55" w:type="dxa"/>
              <w:left w:w="65" w:type="dxa"/>
              <w:bottom w:w="55" w:type="dxa"/>
              <w:right w:w="65" w:type="dxa"/>
            </w:tcMar>
          </w:tcPr>
          <w:p w:rsidR="004E633B" w:rsidRDefault="004E633B">
            <w:pPr>
              <w:pBdr>
                <w:top w:val="nil"/>
                <w:left w:val="nil"/>
                <w:bottom w:val="nil"/>
                <w:right w:val="nil"/>
                <w:between w:val="nil"/>
              </w:pBdr>
              <w:spacing w:after="0" w:line="240" w:lineRule="auto"/>
              <w:jc w:val="center"/>
              <w:rPr>
                <w:color w:val="000000"/>
                <w:sz w:val="20"/>
                <w:szCs w:val="20"/>
              </w:rPr>
            </w:pPr>
          </w:p>
        </w:tc>
      </w:tr>
      <w:tr w:rsidR="004E633B">
        <w:trPr>
          <w:cantSplit/>
          <w:jc w:val="center"/>
        </w:trPr>
        <w:tc>
          <w:tcPr>
            <w:tcW w:w="423"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jc w:val="center"/>
              <w:rPr>
                <w:color w:val="000000"/>
                <w:sz w:val="20"/>
                <w:szCs w:val="20"/>
              </w:rPr>
            </w:pPr>
            <w:r>
              <w:rPr>
                <w:sz w:val="20"/>
                <w:szCs w:val="20"/>
              </w:rPr>
              <w:t>5</w:t>
            </w:r>
          </w:p>
        </w:tc>
        <w:tc>
          <w:tcPr>
            <w:tcW w:w="1559"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b/>
                <w:bCs/>
                <w:color w:val="000000"/>
                <w:sz w:val="20"/>
                <w:szCs w:val="20"/>
              </w:rPr>
              <w:t>Цифрлық стетофонендоскоп</w:t>
            </w:r>
          </w:p>
        </w:tc>
        <w:tc>
          <w:tcPr>
            <w:tcW w:w="7177"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color w:val="000000"/>
                <w:sz w:val="20"/>
                <w:szCs w:val="20"/>
              </w:rPr>
              <w:t>Мақсаты: жүрек пен өкпе дыбыстарын аускультациялау, жазу және қашықтықтан беру. Жүрек және өкпе режимдері; жиілік диапазоны 20–2 000 Гц-тен тар емес немесе баламалы; жазу ұзақтығы кемінде 30 секунд; нақты уақыт режимінде және/немесе жазба түрінде беру; фондық шуды басумен күшейтуді және дыбыс деңгейін реттеу; дыбысты жеткізу жиынтығына кіретін жапсырма құлаққаптарға шығару (кедергісі 32 Ом, жиілік сипаттамасы 20 Гц – 20 кГц); USB және/немесе сымсыз қосылу; автономды жұмыс кемінде 4 сағат; дезинфекциялауға болатын жанасу беттері; зарядтау құрылғысы және кейс.</w:t>
            </w:r>
          </w:p>
        </w:tc>
        <w:tc>
          <w:tcPr>
            <w:tcW w:w="1400"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4E633B">
        <w:trPr>
          <w:cantSplit/>
          <w:jc w:val="center"/>
        </w:trPr>
        <w:tc>
          <w:tcPr>
            <w:tcW w:w="423"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jc w:val="center"/>
              <w:rPr>
                <w:color w:val="000000"/>
                <w:sz w:val="20"/>
                <w:szCs w:val="20"/>
              </w:rPr>
            </w:pPr>
            <w:r>
              <w:rPr>
                <w:sz w:val="20"/>
                <w:szCs w:val="20"/>
              </w:rPr>
              <w:t>6</w:t>
            </w:r>
          </w:p>
        </w:tc>
        <w:tc>
          <w:tcPr>
            <w:tcW w:w="1559"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b/>
                <w:bCs/>
                <w:color w:val="000000"/>
                <w:sz w:val="20"/>
                <w:szCs w:val="20"/>
              </w:rPr>
              <w:t>Цифрлық пульсоксиметр</w:t>
            </w:r>
          </w:p>
        </w:tc>
        <w:tc>
          <w:tcPr>
            <w:tcW w:w="7177"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color w:val="000000"/>
                <w:sz w:val="20"/>
                <w:szCs w:val="20"/>
              </w:rPr>
              <w:t>SpO₂ диапазоны 70–100 %-дан тар емес; 80–100 % диапазонындағы қателік ±2 %-дан аспайды; пульс жиілігі 30–240 соғ/мин-тен тар емес; қателік ±3 соғ/мин немесе ±3 %-дан аспайды; SpO₂, пульс, сигнал сапасы/плетизмограмма және заряд деңгейінің көрсетілуі; шектік мәндер бойынша дабыл; мектеп жасындағы балалар мен ересектерге арналған датчик; автономды қоректену; нәтиженің телемедициналық жүйеде автоматты түрде не оператор арқылы сақталуы.</w:t>
            </w:r>
          </w:p>
        </w:tc>
        <w:tc>
          <w:tcPr>
            <w:tcW w:w="1400"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B83865">
        <w:trPr>
          <w:gridAfter w:val="3"/>
          <w:wAfter w:w="10136" w:type="dxa"/>
          <w:cantSplit/>
          <w:jc w:val="center"/>
        </w:trPr>
        <w:tc>
          <w:tcPr>
            <w:tcW w:w="423" w:type="dxa"/>
            <w:tcMar>
              <w:top w:w="55" w:type="dxa"/>
              <w:left w:w="65" w:type="dxa"/>
              <w:bottom w:w="55" w:type="dxa"/>
              <w:right w:w="65" w:type="dxa"/>
            </w:tcMar>
          </w:tcPr>
          <w:p w:rsidR="00B83865" w:rsidRDefault="00B83865">
            <w:pPr>
              <w:pBdr>
                <w:top w:val="nil"/>
                <w:left w:val="nil"/>
                <w:bottom w:val="nil"/>
                <w:right w:val="nil"/>
                <w:between w:val="nil"/>
              </w:pBdr>
              <w:spacing w:after="0" w:line="240" w:lineRule="auto"/>
              <w:jc w:val="center"/>
              <w:rPr>
                <w:color w:val="000000"/>
                <w:sz w:val="20"/>
                <w:szCs w:val="20"/>
              </w:rPr>
            </w:pPr>
            <w:r>
              <w:rPr>
                <w:sz w:val="20"/>
                <w:szCs w:val="20"/>
              </w:rPr>
              <w:t>7</w:t>
            </w:r>
          </w:p>
        </w:tc>
      </w:tr>
      <w:tr w:rsidR="004E633B">
        <w:trPr>
          <w:cantSplit/>
          <w:jc w:val="center"/>
        </w:trPr>
        <w:tc>
          <w:tcPr>
            <w:tcW w:w="423"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jc w:val="center"/>
              <w:rPr>
                <w:color w:val="000000"/>
                <w:sz w:val="20"/>
                <w:szCs w:val="20"/>
              </w:rPr>
            </w:pPr>
            <w:r>
              <w:rPr>
                <w:sz w:val="20"/>
                <w:szCs w:val="20"/>
              </w:rPr>
              <w:t>8</w:t>
            </w:r>
          </w:p>
        </w:tc>
        <w:tc>
          <w:tcPr>
            <w:tcW w:w="1559"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b/>
                <w:bCs/>
                <w:color w:val="000000"/>
                <w:sz w:val="20"/>
                <w:szCs w:val="20"/>
              </w:rPr>
              <w:t>Цифрлық тамақ камерасы</w:t>
            </w:r>
          </w:p>
        </w:tc>
        <w:tc>
          <w:tcPr>
            <w:tcW w:w="7177"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color w:val="000000"/>
                <w:sz w:val="20"/>
                <w:szCs w:val="20"/>
              </w:rPr>
              <w:t>Ажыратымдылығы кемінде 1280×720; жарықдиодты жарықтандыру; ауыз қуысы мен жұтқыншақты қарауға арналған фокустау; кескінді корпустан не бағдарламалық түрде түсіру; USB және/немесе сымсыз беру; пациентке байланыстырылған фото; телемедициналық жүйемен үйлесімділік; дезинфекциялау және кемінде екі типөлшемді бір реттік ұштықтарды қолдану мүмкіндігі; ұштықтардың бастапқы жиынтығы.</w:t>
            </w:r>
          </w:p>
        </w:tc>
        <w:tc>
          <w:tcPr>
            <w:tcW w:w="1400"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4E633B">
        <w:trPr>
          <w:cantSplit/>
          <w:jc w:val="center"/>
        </w:trPr>
        <w:tc>
          <w:tcPr>
            <w:tcW w:w="423"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jc w:val="center"/>
              <w:rPr>
                <w:color w:val="000000"/>
                <w:sz w:val="20"/>
                <w:szCs w:val="20"/>
              </w:rPr>
            </w:pPr>
            <w:r>
              <w:rPr>
                <w:sz w:val="20"/>
                <w:szCs w:val="20"/>
              </w:rPr>
              <w:t>9</w:t>
            </w:r>
          </w:p>
        </w:tc>
        <w:tc>
          <w:tcPr>
            <w:tcW w:w="1559"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b/>
                <w:bCs/>
                <w:color w:val="000000"/>
                <w:sz w:val="20"/>
                <w:szCs w:val="20"/>
              </w:rPr>
              <w:t>Цифрлық отоскоп</w:t>
            </w:r>
          </w:p>
        </w:tc>
        <w:tc>
          <w:tcPr>
            <w:tcW w:w="7177"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color w:val="000000"/>
                <w:sz w:val="20"/>
                <w:szCs w:val="20"/>
              </w:rPr>
              <w:t>Түрлі-түсті камера кемінде 1280×720; жарықдиодты жарықтандыру; медициналық сапалы кадрды автоматты іріктей отырып кадрлар сериясын тіркеу; кескінді нақты уақыт режимінде беру; балалар мен ересектерге арналған кемінде екі типөлшемді ауыстырмалы воронкалар; бір реттік воронкаларды қолдану мүмкіндігі; USB және/немесе Wi-Fi; автономды жұмыс кемінде 2 сағат; өндірушінің нұсқаулығына сәйкес өңдеу мүмкіндігі.</w:t>
            </w:r>
          </w:p>
        </w:tc>
        <w:tc>
          <w:tcPr>
            <w:tcW w:w="1400"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4E633B">
        <w:trPr>
          <w:cantSplit/>
          <w:jc w:val="center"/>
        </w:trPr>
        <w:tc>
          <w:tcPr>
            <w:tcW w:w="423"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sz w:val="20"/>
                <w:szCs w:val="20"/>
              </w:rPr>
              <w:lastRenderedPageBreak/>
              <w:t>10</w:t>
            </w:r>
          </w:p>
        </w:tc>
        <w:tc>
          <w:tcPr>
            <w:tcW w:w="1559"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b/>
                <w:bCs/>
                <w:color w:val="000000"/>
                <w:sz w:val="20"/>
                <w:szCs w:val="20"/>
              </w:rPr>
              <w:t>Телемедициналық жүйенің аппараттық бөлігі</w:t>
            </w:r>
          </w:p>
        </w:tc>
        <w:tc>
          <w:tcPr>
            <w:tcW w:w="7177"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color w:val="000000"/>
                <w:sz w:val="20"/>
                <w:szCs w:val="20"/>
              </w:rPr>
              <w:t>Планшет: экраны кемінде 8 дюйм, жедел жады кемінде 4 ГБ, жинақтауышы кемінде 64 ГБ, камера және микрофон; кірістірілген камера жеткіліксіз болған жағдайда сыртқы камера; Wi-Fi; лицензиялық ОЖ және қорғаныш БҚ; микрофоны бар жапсырма құлаққаптар; қорғаныш кейс; кабельдер мен адаптерлер. Жиынтық бейнебайланысты және кемінде бір медициналық бұйымнан деректерді бір мезгілде алуды қамтамасыз етеді.</w:t>
            </w:r>
          </w:p>
        </w:tc>
        <w:tc>
          <w:tcPr>
            <w:tcW w:w="1400"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4E633B">
        <w:trPr>
          <w:cantSplit/>
          <w:jc w:val="center"/>
        </w:trPr>
        <w:tc>
          <w:tcPr>
            <w:tcW w:w="423"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jc w:val="center"/>
              <w:rPr>
                <w:color w:val="000000"/>
                <w:sz w:val="20"/>
                <w:szCs w:val="20"/>
              </w:rPr>
            </w:pPr>
            <w:r>
              <w:rPr>
                <w:sz w:val="20"/>
                <w:szCs w:val="20"/>
              </w:rPr>
              <w:t>11</w:t>
            </w:r>
          </w:p>
        </w:tc>
        <w:tc>
          <w:tcPr>
            <w:tcW w:w="1559"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b/>
                <w:bCs/>
                <w:color w:val="000000"/>
                <w:sz w:val="20"/>
                <w:szCs w:val="20"/>
              </w:rPr>
              <w:t>Телемедициналық бағдарламалық қамтылым</w:t>
            </w:r>
          </w:p>
        </w:tc>
        <w:tc>
          <w:tcPr>
            <w:tcW w:w="7177"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color w:val="000000"/>
                <w:sz w:val="20"/>
                <w:szCs w:val="20"/>
              </w:rPr>
              <w:t>Пациентті тіркеу және тексеріп-қараудың электрондық картасы; ақпараттық қауіпсіздік сертификатының болуы; қорғалған бейнеконсультация; кескіндерді, бейнені, дыбысты және сандық көрсеткіштерді беру; күнін, уақытын, құрылғыны және пайдаланушыны сақтау; шағымдарды, анамнезді, қорытынды мен ұсынымдарды енгізу; тексеріп-қарау хаттамасын қалыптастыру және оны PDF форматына экспорттау; пайдаланушылар әрекеттерінің журналы; рөлдік қолжетімділік; хабардар етілген келісімді тіркеу; орыс және қазақ тілдеріндегі интерфейс; іздеу және есептер; резервтеу; қосымша ақысыз жаңартулар; жарнаманың болмауы.</w:t>
            </w:r>
          </w:p>
        </w:tc>
        <w:tc>
          <w:tcPr>
            <w:tcW w:w="1400"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4E633B">
        <w:trPr>
          <w:cantSplit/>
          <w:jc w:val="center"/>
        </w:trPr>
        <w:tc>
          <w:tcPr>
            <w:tcW w:w="423"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jc w:val="center"/>
              <w:rPr>
                <w:color w:val="000000"/>
                <w:sz w:val="20"/>
                <w:szCs w:val="20"/>
              </w:rPr>
            </w:pPr>
            <w:r>
              <w:rPr>
                <w:color w:val="000000"/>
                <w:sz w:val="20"/>
                <w:szCs w:val="20"/>
              </w:rPr>
              <w:t>1</w:t>
            </w:r>
            <w:r>
              <w:rPr>
                <w:sz w:val="20"/>
                <w:szCs w:val="20"/>
              </w:rPr>
              <w:t>2</w:t>
            </w:r>
          </w:p>
        </w:tc>
        <w:tc>
          <w:tcPr>
            <w:tcW w:w="1559"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b/>
                <w:bCs/>
                <w:color w:val="000000"/>
                <w:sz w:val="20"/>
                <w:szCs w:val="20"/>
              </w:rPr>
              <w:t>Интеграция және үйлесімділік</w:t>
            </w:r>
          </w:p>
        </w:tc>
        <w:tc>
          <w:tcPr>
            <w:tcW w:w="7177"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color w:val="000000"/>
                <w:sz w:val="20"/>
                <w:szCs w:val="20"/>
              </w:rPr>
              <w:t>Құжатталған ашық REST API және/немесе HL7 FHIR интерфейстері; бір өндірушіге жабық байланыссыз деректерді экспорттау; деректер түріне қарай JSON/XML/PDF/JPEG/PNG/WAV/MP4 форматтары; Тапсырыс беруші тарапынан техникалық шарттар берілген кезде ҚР ДСМ-нің және Тапсырыс берушінің ақпараттық жүйелерімен интеграция; интеграциялық модуль лицензиялары құнға енгізілген; интеграция аяқталғанға дейін деректерді қауіпсіз қолмен жүктеп алу/жүктеу қолжетімді.</w:t>
            </w:r>
          </w:p>
        </w:tc>
        <w:tc>
          <w:tcPr>
            <w:tcW w:w="1400"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4E633B">
        <w:trPr>
          <w:cantSplit/>
          <w:jc w:val="center"/>
        </w:trPr>
        <w:tc>
          <w:tcPr>
            <w:tcW w:w="423"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jc w:val="center"/>
              <w:rPr>
                <w:color w:val="000000"/>
                <w:sz w:val="20"/>
                <w:szCs w:val="20"/>
              </w:rPr>
            </w:pPr>
            <w:r>
              <w:rPr>
                <w:color w:val="000000"/>
                <w:sz w:val="20"/>
                <w:szCs w:val="20"/>
              </w:rPr>
              <w:t>1</w:t>
            </w:r>
            <w:r>
              <w:rPr>
                <w:sz w:val="20"/>
                <w:szCs w:val="20"/>
              </w:rPr>
              <w:t>3</w:t>
            </w:r>
          </w:p>
        </w:tc>
        <w:tc>
          <w:tcPr>
            <w:tcW w:w="1559"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b/>
                <w:bCs/>
                <w:color w:val="000000"/>
                <w:sz w:val="20"/>
                <w:szCs w:val="20"/>
              </w:rPr>
              <w:t>Ақпараттық қауіпсіздік</w:t>
            </w:r>
          </w:p>
        </w:tc>
        <w:tc>
          <w:tcPr>
            <w:tcW w:w="7177"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color w:val="000000"/>
                <w:sz w:val="20"/>
                <w:szCs w:val="20"/>
              </w:rPr>
              <w:t>Медициналық деректерді Қазақстан Республикасының аумағында сақтау; Қазақстан Республикасының ақпараттық қауіпсіздік саласындағы бірыңғай талаптарын сақтау; TLS 1.2-ден төмен емес; деректерді сақтау кезінде қорғау; әкімшілер мен медицина қызметкерлері үшін көпфакторлы аутентификация; кіру, қарау, өзгерту және жүктеп алу журналы; белсенді емес сеансты автоматты аяқтау; ең аз қолжетімділік құқықтары; тәулігіне кемінде бір рет резервтік көшірме жасау; ақпараттық қауіпсіздік инциденті туралы Тапсырыс берушіні 2 сағаттан кешіктірмей хабардар ету; дербес медициналық деректерді жарнамалық мақсатта пайдалануға және оларды заңды негізсіз үшінші тұлғаларға беруге тыйым салу; иесіздендірілген деректерді статистикалық, ғылыми және зерттеу мақсаттарында, оның ішінде дәрігерлік шешім қабылдауды қолдау алгоритмдерін жетілдіру үшін өңдеуге қайтымсыз иесіздендіру шартымен және Қазақстан Республикасының дербес деректер туралы заңнамасына сәйкес жол беріледі; шарт аяқталғаннан кейін деректерді белгіленген тәртіппен беру және жою.</w:t>
            </w:r>
          </w:p>
        </w:tc>
        <w:tc>
          <w:tcPr>
            <w:tcW w:w="1400"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4E633B">
        <w:trPr>
          <w:cantSplit/>
          <w:jc w:val="center"/>
        </w:trPr>
        <w:tc>
          <w:tcPr>
            <w:tcW w:w="423"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jc w:val="center"/>
              <w:rPr>
                <w:color w:val="000000"/>
                <w:sz w:val="20"/>
                <w:szCs w:val="20"/>
              </w:rPr>
            </w:pPr>
            <w:r>
              <w:rPr>
                <w:color w:val="000000"/>
                <w:sz w:val="20"/>
                <w:szCs w:val="20"/>
              </w:rPr>
              <w:t>1</w:t>
            </w:r>
            <w:r>
              <w:rPr>
                <w:sz w:val="20"/>
                <w:szCs w:val="20"/>
              </w:rPr>
              <w:t>4</w:t>
            </w:r>
          </w:p>
        </w:tc>
        <w:tc>
          <w:tcPr>
            <w:tcW w:w="1559"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b/>
                <w:bCs/>
                <w:color w:val="000000"/>
                <w:sz w:val="20"/>
                <w:szCs w:val="20"/>
              </w:rPr>
              <w:t>Жеткізу және пайдалануға енгізу</w:t>
            </w:r>
          </w:p>
        </w:tc>
        <w:tc>
          <w:tcPr>
            <w:tcW w:w="7177"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color w:val="000000"/>
                <w:sz w:val="20"/>
                <w:szCs w:val="20"/>
              </w:rPr>
              <w:t>Жабдықты Тапсырыс беруші көрсеткен облыс орталығындағы мекенжайға жеткізу және қабылдау-беру актісі бойынша беру; жабдық алдын ала бапталған күйде (БҚ орнатылған, тіркелгілер құрылған, құрылғылар байланыстырылған) жеткізіледі; жабдықты облыс орталығынан объектілерге тасымалдауды және орналастыруды Тапсырыс беруші қамтамасыз етеді; Жеткізуші үй-жай мен желіге қойылатын талаптарды және орнату жөніндегі нұсқаулықты ұсынады; қосуды, әрбір бұйымды тексеруді, сынақтық бейнеконсультацияны және нәтижелерді беруді қашықтықтан сүйемелдейді; сервистік нөмірлермен таңбалау; нұсқаулықтарды беру; дайындық актісі және пайдалануға енгізу актісі. Бір объектіні іске қосу мерзімі – Тапсырыс беруші жабдықты объектіге жеткізіп, дайын үй-жайды және интернетке қолжетімділікті қамтамасыз еткен күннен бастап 10 жұмыс күнінен аспайды, егер шартта өзгеше белгіленбесе.</w:t>
            </w:r>
          </w:p>
        </w:tc>
        <w:tc>
          <w:tcPr>
            <w:tcW w:w="1400"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4E633B">
        <w:trPr>
          <w:cantSplit/>
          <w:jc w:val="center"/>
        </w:trPr>
        <w:tc>
          <w:tcPr>
            <w:tcW w:w="423"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jc w:val="center"/>
              <w:rPr>
                <w:color w:val="000000"/>
                <w:sz w:val="20"/>
                <w:szCs w:val="20"/>
              </w:rPr>
            </w:pPr>
            <w:r>
              <w:rPr>
                <w:color w:val="000000"/>
                <w:sz w:val="20"/>
                <w:szCs w:val="20"/>
              </w:rPr>
              <w:t>1</w:t>
            </w:r>
            <w:r>
              <w:rPr>
                <w:sz w:val="20"/>
                <w:szCs w:val="20"/>
              </w:rPr>
              <w:t>5</w:t>
            </w:r>
          </w:p>
        </w:tc>
        <w:tc>
          <w:tcPr>
            <w:tcW w:w="1559"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b/>
                <w:bCs/>
                <w:color w:val="000000"/>
                <w:sz w:val="20"/>
                <w:szCs w:val="20"/>
              </w:rPr>
              <w:t>Пайдаланушыларды оқыту</w:t>
            </w:r>
          </w:p>
        </w:tc>
        <w:tc>
          <w:tcPr>
            <w:tcW w:w="7177"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color w:val="000000"/>
                <w:sz w:val="20"/>
                <w:szCs w:val="20"/>
              </w:rPr>
              <w:t xml:space="preserve">Әрбір объект бойынша кемінде екі медицина қызметкерін және бір әкімшіні қашықтық форматта (онлайн) оқыту; Тапсырыс берушінің өтінімі бойынша облыс орталығында топтық күндізгі оқыту өткізуге жол беріледі. Тақырыптары: қауіпсіз пайдалану, тексерулер және деректер сапасы, жүйеде жұмыс істеу, деректерді қорғау, қолдау қызметіне жүгіну, істен шығу кезіндегі әрекеттер. Кемінде 1 академиялық сағат. Нұсқаулықтар және бейнематериалдар; </w:t>
            </w:r>
          </w:p>
        </w:tc>
        <w:tc>
          <w:tcPr>
            <w:tcW w:w="1400"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4E633B">
        <w:trPr>
          <w:cantSplit/>
          <w:jc w:val="center"/>
        </w:trPr>
        <w:tc>
          <w:tcPr>
            <w:tcW w:w="423"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jc w:val="center"/>
              <w:rPr>
                <w:color w:val="000000"/>
                <w:sz w:val="20"/>
                <w:szCs w:val="20"/>
              </w:rPr>
            </w:pPr>
            <w:r>
              <w:rPr>
                <w:color w:val="000000"/>
                <w:sz w:val="20"/>
                <w:szCs w:val="20"/>
              </w:rPr>
              <w:lastRenderedPageBreak/>
              <w:t>1</w:t>
            </w:r>
            <w:r>
              <w:rPr>
                <w:sz w:val="20"/>
                <w:szCs w:val="20"/>
              </w:rPr>
              <w:t>6</w:t>
            </w:r>
          </w:p>
        </w:tc>
        <w:tc>
          <w:tcPr>
            <w:tcW w:w="1559"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b/>
                <w:bCs/>
                <w:color w:val="000000"/>
                <w:sz w:val="20"/>
                <w:szCs w:val="20"/>
              </w:rPr>
              <w:t>Техникалық қызмет көрсету</w:t>
            </w:r>
          </w:p>
        </w:tc>
        <w:tc>
          <w:tcPr>
            <w:tcW w:w="7177"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color w:val="000000"/>
                <w:sz w:val="20"/>
                <w:szCs w:val="20"/>
              </w:rPr>
              <w:t>Медициналық бұйым өндірушісінің пайдалану құжаттамасында белгіленген көлемде және кезеңділікпен профилактикалық қызмет көрсету (қашықтықтан және/немесе облыс орталығында); жұмысқа қабілеттілікті қашықтықтан мониторингтеу және бағдарламалық бөлікке профилактикалық қызмет көрсету; қашықтықтан диагностика; ақаулы жабдықты облыс орталығында қабылдап алу арқылы жөндеу және ауыстыру (жабдықты объектіден облыс орталығына дейін және кері жеткізуді Тапсырыс беруші қамтамасыз етеді); қолданылатын жағдайда салыстырып тексеру/калибрлеу; БҚ жаңарту; қызмет көрсету журналы; қосалқы бөлшектер мен шығыс материалдары; жөндеу уақытына орнатылғаннан төмен емес сипаттамалары бар ауыстырмалы жабдық.</w:t>
            </w:r>
          </w:p>
        </w:tc>
        <w:tc>
          <w:tcPr>
            <w:tcW w:w="1400"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4E633B">
        <w:trPr>
          <w:cantSplit/>
          <w:jc w:val="center"/>
        </w:trPr>
        <w:tc>
          <w:tcPr>
            <w:tcW w:w="423"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jc w:val="center"/>
              <w:rPr>
                <w:color w:val="000000"/>
                <w:sz w:val="20"/>
                <w:szCs w:val="20"/>
              </w:rPr>
            </w:pPr>
            <w:r>
              <w:rPr>
                <w:color w:val="000000"/>
                <w:sz w:val="20"/>
                <w:szCs w:val="20"/>
              </w:rPr>
              <w:t>1</w:t>
            </w:r>
            <w:r>
              <w:rPr>
                <w:sz w:val="20"/>
                <w:szCs w:val="20"/>
              </w:rPr>
              <w:t>7</w:t>
            </w:r>
          </w:p>
        </w:tc>
        <w:tc>
          <w:tcPr>
            <w:tcW w:w="1559"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b/>
                <w:bCs/>
                <w:color w:val="000000"/>
                <w:sz w:val="20"/>
                <w:szCs w:val="20"/>
              </w:rPr>
              <w:t>Жабдықтың сапасы мен жай-күйі</w:t>
            </w:r>
          </w:p>
        </w:tc>
        <w:tc>
          <w:tcPr>
            <w:tcW w:w="7177"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sz w:val="20"/>
                <w:szCs w:val="20"/>
              </w:rPr>
              <w:t>Алғашқы орнату кезінде жабдық жаңа, пайдаланылмаған, қалпына келтірілмеген және ақаусыз болады; таңбалау мен сериялық нөмірлер құжаттамаға сәйкес келеді.</w:t>
            </w:r>
          </w:p>
        </w:tc>
        <w:tc>
          <w:tcPr>
            <w:tcW w:w="1400"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4E633B">
        <w:trPr>
          <w:cantSplit/>
          <w:jc w:val="center"/>
        </w:trPr>
        <w:tc>
          <w:tcPr>
            <w:tcW w:w="423"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jc w:val="center"/>
              <w:rPr>
                <w:color w:val="000000"/>
                <w:sz w:val="20"/>
                <w:szCs w:val="20"/>
              </w:rPr>
            </w:pPr>
            <w:r>
              <w:rPr>
                <w:color w:val="000000"/>
                <w:sz w:val="20"/>
                <w:szCs w:val="20"/>
              </w:rPr>
              <w:t>1</w:t>
            </w:r>
            <w:r>
              <w:rPr>
                <w:sz w:val="20"/>
                <w:szCs w:val="20"/>
              </w:rPr>
              <w:t>8</w:t>
            </w:r>
          </w:p>
        </w:tc>
        <w:tc>
          <w:tcPr>
            <w:tcW w:w="1559"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b/>
                <w:bCs/>
                <w:color w:val="000000"/>
                <w:sz w:val="20"/>
                <w:szCs w:val="20"/>
              </w:rPr>
              <w:t>Кепілдік, ауыстыру және SLA</w:t>
            </w:r>
          </w:p>
        </w:tc>
        <w:tc>
          <w:tcPr>
            <w:tcW w:w="7177"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color w:val="000000"/>
                <w:sz w:val="20"/>
                <w:szCs w:val="20"/>
              </w:rPr>
              <w:t>Кепілдік қызмет көрсетудің бүкіл мерзімі бойы және пайдалануға енгізілген күннен бастап кемінде 12 ай қолданылады. Сыни ақаулық: қашықтықтан диагностиканы бастау 2 сағаттан кешіктірілмейді; ауыстырмалы құрылғыны облыс орталығында Тапсырыс берушіге беру – 3 жұмыс күнінен кешіктірілмейді; ауыстыру 7 жұмыс күнінен кешіктірілмейді. Платформаның қолжетімділігі айына кемінде 99,5 %. Сыни инцидент: ден қою 2 сағат, айналып өту шешімі/қалпына келтіру 24 сағат; елеулі: ден қою 6 сағат, жою 3 жұмыс күні; сыни емес: ден қою 5 жұмыс күні.</w:t>
            </w:r>
          </w:p>
        </w:tc>
        <w:tc>
          <w:tcPr>
            <w:tcW w:w="1400"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4E633B">
        <w:trPr>
          <w:cantSplit/>
          <w:jc w:val="center"/>
        </w:trPr>
        <w:tc>
          <w:tcPr>
            <w:tcW w:w="423"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jc w:val="center"/>
              <w:rPr>
                <w:color w:val="000000"/>
                <w:sz w:val="20"/>
                <w:szCs w:val="20"/>
              </w:rPr>
            </w:pPr>
            <w:r>
              <w:rPr>
                <w:color w:val="000000"/>
                <w:sz w:val="20"/>
                <w:szCs w:val="20"/>
              </w:rPr>
              <w:t>1</w:t>
            </w:r>
            <w:r>
              <w:rPr>
                <w:sz w:val="20"/>
                <w:szCs w:val="20"/>
              </w:rPr>
              <w:t>9</w:t>
            </w:r>
          </w:p>
        </w:tc>
        <w:tc>
          <w:tcPr>
            <w:tcW w:w="1559"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b/>
                <w:bCs/>
                <w:color w:val="000000"/>
                <w:sz w:val="20"/>
                <w:szCs w:val="20"/>
              </w:rPr>
              <w:t>Жеткізушінің құжаттамасы</w:t>
            </w:r>
          </w:p>
        </w:tc>
        <w:tc>
          <w:tcPr>
            <w:tcW w:w="7177"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color w:val="000000"/>
                <w:sz w:val="20"/>
                <w:szCs w:val="20"/>
              </w:rPr>
              <w:t>Модельдері, сериялық нөмірлері және шығарылған жылы көрсетілген жабдық тізбесі; тіркеу куәліктері; орыс және/немесе қазақ тіліндегі нұсқаулықтар; қолданылатын жағдайда салыстырып тексеру/калибрлеу құжаттары; қолданылатын жағдайда медициналық емес жабдыққа сертификаттар/декларациялар; БҚ лицензиялары; ақпараттық қауіпсіздік сынақтарының сертификаты/хаттамасы; ақпараттық қауіпсіздік сәулеті мен шараларының сипаттамасы; қолдау регламенті; оқыту бағдарламасы мен хаттамасы; пайдалануға енгізу актілері; қабылдау сынақтарының хаттамасы.</w:t>
            </w:r>
          </w:p>
        </w:tc>
        <w:tc>
          <w:tcPr>
            <w:tcW w:w="1400"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4E633B">
        <w:trPr>
          <w:cantSplit/>
          <w:jc w:val="center"/>
        </w:trPr>
        <w:tc>
          <w:tcPr>
            <w:tcW w:w="423"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jc w:val="center"/>
              <w:rPr>
                <w:color w:val="000000"/>
                <w:sz w:val="20"/>
                <w:szCs w:val="20"/>
              </w:rPr>
            </w:pPr>
            <w:r>
              <w:rPr>
                <w:sz w:val="20"/>
                <w:szCs w:val="20"/>
              </w:rPr>
              <w:t>20</w:t>
            </w:r>
          </w:p>
        </w:tc>
        <w:tc>
          <w:tcPr>
            <w:tcW w:w="1559"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b/>
                <w:bCs/>
                <w:color w:val="000000"/>
                <w:sz w:val="20"/>
                <w:szCs w:val="20"/>
              </w:rPr>
              <w:t>Қабылдау сынақтары</w:t>
            </w:r>
          </w:p>
        </w:tc>
        <w:tc>
          <w:tcPr>
            <w:tcW w:w="7177"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color w:val="000000"/>
                <w:sz w:val="20"/>
                <w:szCs w:val="20"/>
              </w:rPr>
              <w:t>Қабылдау сынақтары Тапсырыс беруші персоналының қатысуымен қашықтықтан (бейнебайланыс арқылы) жүргізіледі. Жиынтықтылық; барлық құрылғылардың жұмысы; сынақтық өлшеу; нәтиженің пациент картасында сақталуы; аускультативтік дыбысты, SpO₂-ні, бой/массаны және отоскоп кескінін беру; кемінде 10 минут бейнеконсультация; PDF қалыптастыру; рөлдер мен әрекеттер журналы; резервтеу; оқыту тексеріледі. Сәйкессіздіктер Жеткізушінің есебінен 5 жұмыс күнінен аспайтын мерзімде жойылады.</w:t>
            </w:r>
          </w:p>
        </w:tc>
        <w:tc>
          <w:tcPr>
            <w:tcW w:w="1400"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4E633B">
        <w:trPr>
          <w:cantSplit/>
          <w:jc w:val="center"/>
        </w:trPr>
        <w:tc>
          <w:tcPr>
            <w:tcW w:w="423"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jc w:val="center"/>
              <w:rPr>
                <w:color w:val="000000"/>
                <w:sz w:val="20"/>
                <w:szCs w:val="20"/>
              </w:rPr>
            </w:pPr>
            <w:r>
              <w:rPr>
                <w:color w:val="000000"/>
                <w:sz w:val="20"/>
                <w:szCs w:val="20"/>
              </w:rPr>
              <w:t>2</w:t>
            </w:r>
            <w:r>
              <w:rPr>
                <w:sz w:val="20"/>
                <w:szCs w:val="20"/>
              </w:rPr>
              <w:t>1</w:t>
            </w:r>
          </w:p>
        </w:tc>
        <w:tc>
          <w:tcPr>
            <w:tcW w:w="1559"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b/>
                <w:bCs/>
                <w:color w:val="000000"/>
                <w:sz w:val="20"/>
                <w:szCs w:val="20"/>
              </w:rPr>
              <w:t>Ай сайынғы есептілік</w:t>
            </w:r>
          </w:p>
        </w:tc>
        <w:tc>
          <w:tcPr>
            <w:tcW w:w="7177"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color w:val="000000"/>
                <w:sz w:val="20"/>
                <w:szCs w:val="20"/>
              </w:rPr>
              <w:t>Көрсетілген қызметтер актісіне мыналар қоса беріледі: жұмыс істеп тұрған объектілер мен жабдықтың тізбесі; қолжетімділік; өтініштер және оларды жою мерзімдері; профилактика, жөндеулер және ауыстырулар; жаңартулар; оқытулар; ақпараттық қауіпсіздік инциденттері; қолданыстағы лицензияларды растау.</w:t>
            </w:r>
          </w:p>
        </w:tc>
        <w:tc>
          <w:tcPr>
            <w:tcW w:w="1400"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4E633B">
        <w:trPr>
          <w:cantSplit/>
          <w:jc w:val="center"/>
        </w:trPr>
        <w:tc>
          <w:tcPr>
            <w:tcW w:w="423"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jc w:val="center"/>
              <w:rPr>
                <w:color w:val="000000"/>
                <w:sz w:val="20"/>
                <w:szCs w:val="20"/>
              </w:rPr>
            </w:pPr>
            <w:r>
              <w:rPr>
                <w:color w:val="000000"/>
                <w:sz w:val="20"/>
                <w:szCs w:val="20"/>
              </w:rPr>
              <w:t>2</w:t>
            </w:r>
            <w:r>
              <w:rPr>
                <w:sz w:val="20"/>
                <w:szCs w:val="20"/>
              </w:rPr>
              <w:t>2</w:t>
            </w:r>
          </w:p>
        </w:tc>
        <w:tc>
          <w:tcPr>
            <w:tcW w:w="1559"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b/>
                <w:bCs/>
                <w:color w:val="000000"/>
                <w:sz w:val="20"/>
                <w:szCs w:val="20"/>
              </w:rPr>
              <w:t>Қызметті аяқтау</w:t>
            </w:r>
          </w:p>
        </w:tc>
        <w:tc>
          <w:tcPr>
            <w:tcW w:w="7177"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color w:val="000000"/>
                <w:sz w:val="20"/>
                <w:szCs w:val="20"/>
              </w:rPr>
              <w:t>Жеткізуші деректерді, хаттамаларды, журналдар мен есептерді келісілген машинамен оқылатын форматта береді; шартта өзгеше белгіленбесе, кемінде 30 күнтізбелік күн өтпелі қолжетімділікті қамтамасыз етеді; Тапсырыс беруші жабдықты облыс орталығындағы келісілген мекенжайда қайтарады, Жеткізуші оны сол жерден әкетеді; қайтару және көшіру актілерін ресімдейді. Деректерді жою – тек Тапсырыс берушінің жазбаша растауынан кейін және медициналық құжаттаманы сақтау мерзімдерін ескере отырып.</w:t>
            </w:r>
          </w:p>
        </w:tc>
        <w:tc>
          <w:tcPr>
            <w:tcW w:w="1400"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4E633B">
        <w:trPr>
          <w:cantSplit/>
          <w:jc w:val="center"/>
        </w:trPr>
        <w:tc>
          <w:tcPr>
            <w:tcW w:w="423"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jc w:val="center"/>
              <w:rPr>
                <w:color w:val="000000"/>
                <w:sz w:val="20"/>
                <w:szCs w:val="20"/>
              </w:rPr>
            </w:pPr>
            <w:r>
              <w:rPr>
                <w:color w:val="000000"/>
                <w:sz w:val="20"/>
                <w:szCs w:val="20"/>
              </w:rPr>
              <w:t>2</w:t>
            </w:r>
            <w:r>
              <w:rPr>
                <w:sz w:val="20"/>
                <w:szCs w:val="20"/>
              </w:rPr>
              <w:t>3</w:t>
            </w:r>
          </w:p>
        </w:tc>
        <w:tc>
          <w:tcPr>
            <w:tcW w:w="1559"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b/>
                <w:bCs/>
                <w:color w:val="000000"/>
                <w:sz w:val="20"/>
                <w:szCs w:val="20"/>
              </w:rPr>
              <w:t>Қосымша талаптар</w:t>
            </w:r>
          </w:p>
        </w:tc>
        <w:tc>
          <w:tcPr>
            <w:tcW w:w="7177"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rPr>
                <w:color w:val="000000"/>
                <w:sz w:val="20"/>
                <w:szCs w:val="20"/>
              </w:rPr>
            </w:pPr>
            <w:r>
              <w:rPr>
                <w:color w:val="000000"/>
                <w:sz w:val="20"/>
                <w:szCs w:val="20"/>
              </w:rPr>
              <w:t>Талаптарда тауар белгілері, өндіруші немесе шығарылған елі қамтылмаған. Мақсаты, үйлесімділігі және қауіпсіздігі сақталған жағдайда балама немесе одан жоғары сипаттамаларға жол беріледі. Жеткізуші осы ерекшелікті орындау үшін қажетті қосымша лицензияларды, жабдықты немесе қызметтерді талап етуге құқылы емес. Барлық лицензиялар заңды және бүкіл кезең бойы қолданылады. Қолдау және құжаттар – орыс тілінде, қазақ тілі – Тапсырыс берушінің сұрауы бойынша.</w:t>
            </w:r>
          </w:p>
        </w:tc>
        <w:tc>
          <w:tcPr>
            <w:tcW w:w="1400" w:type="dxa"/>
            <w:tcMar>
              <w:top w:w="55" w:type="dxa"/>
              <w:left w:w="65" w:type="dxa"/>
              <w:bottom w:w="55" w:type="dxa"/>
              <w:right w:w="65" w:type="dxa"/>
            </w:tcMar>
          </w:tcPr>
          <w:p w:rsidR="004E633B" w:rsidRDefault="005500F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bl>
    <w:p w:rsidR="004E633B" w:rsidRDefault="004E633B">
      <w:pPr>
        <w:spacing w:after="0"/>
        <w:rPr>
          <w:sz w:val="20"/>
          <w:szCs w:val="20"/>
        </w:rPr>
      </w:pPr>
    </w:p>
    <w:sectPr w:rsidR="004E633B">
      <w:headerReference w:type="default" r:id="rId9"/>
      <w:footerReference w:type="default" r:id="rId10"/>
      <w:pgSz w:w="12240" w:h="15840"/>
      <w:pgMar w:top="850" w:right="850" w:bottom="850" w:left="850" w:header="397" w:footer="397"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7C5F" w:rsidRDefault="00D27C5F">
      <w:pPr>
        <w:spacing w:after="0" w:line="240" w:lineRule="auto"/>
      </w:pPr>
      <w:r>
        <w:separator/>
      </w:r>
    </w:p>
  </w:endnote>
  <w:endnote w:type="continuationSeparator" w:id="0">
    <w:p w:rsidR="00D27C5F" w:rsidRDefault="00D27C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embedRegular r:id="rId1" w:fontKey="{8EF1C394-1145-4562-AF27-9B657709DF11}"/>
    <w:embedBold r:id="rId2" w:fontKey="{B9B74814-9503-4398-A10A-82B77D5332B2}"/>
    <w:embedItalic r:id="rId3" w:fontKey="{6E44EBD3-8D86-489A-8D16-F751F84EB3BB}"/>
    <w:embedBoldItalic r:id="rId4" w:fontKey="{ED4E73F3-6B1D-44BB-B483-15716232C349}"/>
  </w:font>
  <w:font w:name="SimSun">
    <w:altName w:val="宋体"/>
    <w:panose1 w:val="02010600030101010101"/>
    <w:charset w:val="86"/>
    <w:family w:val="auto"/>
    <w:pitch w:val="variable"/>
    <w:sig w:usb0="00000203" w:usb1="288F0000"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embedRegular r:id="rId5" w:fontKey="{8BB86019-615A-4B9B-8C5E-389E288D4CC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33B" w:rsidRDefault="005500F0">
    <w:pPr>
      <w:pBdr>
        <w:top w:val="nil"/>
        <w:left w:val="nil"/>
        <w:bottom w:val="nil"/>
        <w:right w:val="nil"/>
        <w:between w:val="nil"/>
      </w:pBdr>
      <w:tabs>
        <w:tab w:val="center" w:pos="4680"/>
        <w:tab w:val="right" w:pos="9360"/>
      </w:tabs>
      <w:spacing w:after="0" w:line="240" w:lineRule="auto"/>
      <w:jc w:val="center"/>
      <w:rPr>
        <w:color w:val="000000"/>
      </w:rPr>
    </w:pPr>
    <w:r>
      <w:rPr>
        <w:color w:val="000000"/>
        <w:sz w:val="16"/>
        <w:szCs w:val="16"/>
      </w:rPr>
      <w:t xml:space="preserve">Бет </w:t>
    </w:r>
    <w:r>
      <w:rPr>
        <w:color w:val="000000"/>
        <w:sz w:val="16"/>
        <w:szCs w:val="16"/>
      </w:rPr>
      <w:fldChar w:fldCharType="begin"/>
    </w:r>
    <w:r>
      <w:rPr>
        <w:color w:val="000000"/>
        <w:sz w:val="16"/>
        <w:szCs w:val="16"/>
      </w:rPr>
      <w:instrText>PAGE</w:instrText>
    </w:r>
    <w:r>
      <w:rPr>
        <w:color w:val="000000"/>
        <w:sz w:val="16"/>
        <w:szCs w:val="16"/>
      </w:rPr>
      <w:fldChar w:fldCharType="separate"/>
    </w:r>
    <w:r w:rsidR="00EA3EA1">
      <w:rPr>
        <w:noProof/>
        <w:color w:val="000000"/>
        <w:sz w:val="16"/>
        <w:szCs w:val="16"/>
      </w:rPr>
      <w:t>1</w:t>
    </w:r>
    <w:r>
      <w:rPr>
        <w:color w:val="000000"/>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7C5F" w:rsidRDefault="00D27C5F">
      <w:pPr>
        <w:spacing w:after="0" w:line="240" w:lineRule="auto"/>
      </w:pPr>
      <w:r>
        <w:separator/>
      </w:r>
    </w:p>
  </w:footnote>
  <w:footnote w:type="continuationSeparator" w:id="0">
    <w:p w:rsidR="00D27C5F" w:rsidRDefault="00D27C5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33B" w:rsidRDefault="005500F0">
    <w:pPr>
      <w:pBdr>
        <w:top w:val="nil"/>
        <w:left w:val="nil"/>
        <w:bottom w:val="nil"/>
        <w:right w:val="nil"/>
        <w:between w:val="nil"/>
      </w:pBdr>
      <w:tabs>
        <w:tab w:val="center" w:pos="4680"/>
        <w:tab w:val="right" w:pos="9360"/>
      </w:tabs>
      <w:spacing w:after="0" w:line="240" w:lineRule="auto"/>
      <w:jc w:val="right"/>
      <w:rPr>
        <w:color w:val="000000"/>
      </w:rPr>
    </w:pPr>
    <w:r>
      <w:rPr>
        <w:i/>
        <w:iCs/>
        <w:color w:val="646464"/>
        <w:sz w:val="16"/>
        <w:szCs w:val="16"/>
      </w:rPr>
      <w:t>Техникалық ерекшелік</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0E11B7"/>
    <w:multiLevelType w:val="multilevel"/>
    <w:tmpl w:val="B04E0C8E"/>
    <w:lvl w:ilvl="0">
      <w:start w:val="1"/>
      <w:numFmt w:val="decimal"/>
      <w:pStyle w:val="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4E633B"/>
    <w:rsid w:val="004E633B"/>
    <w:rsid w:val="005500F0"/>
    <w:rsid w:val="00B15908"/>
    <w:rsid w:val="00B83865"/>
    <w:rsid w:val="00D27C5F"/>
    <w:rsid w:val="00EA3EA1"/>
    <w:rsid w:val="00FA7C07"/>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kk"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style>
  <w:style w:type="paragraph" w:styleId="1">
    <w:name w:val="heading 1"/>
    <w:basedOn w:val="a0"/>
    <w:next w:val="a0"/>
    <w:pPr>
      <w:keepNext/>
      <w:keepLines/>
      <w:spacing w:before="480" w:after="0"/>
      <w:outlineLvl w:val="0"/>
    </w:pPr>
    <w:rPr>
      <w:rFonts w:ascii="Calibri" w:eastAsia="Calibri" w:hAnsi="Calibri" w:cs="Calibri"/>
      <w:b/>
      <w:bCs/>
      <w:color w:val="366091"/>
      <w:sz w:val="28"/>
      <w:szCs w:val="28"/>
    </w:rPr>
  </w:style>
  <w:style w:type="paragraph" w:styleId="2">
    <w:name w:val="heading 2"/>
    <w:basedOn w:val="a0"/>
    <w:next w:val="a0"/>
    <w:pPr>
      <w:keepNext/>
      <w:keepLines/>
      <w:spacing w:before="200" w:after="0"/>
      <w:outlineLvl w:val="1"/>
    </w:pPr>
    <w:rPr>
      <w:rFonts w:ascii="Calibri" w:eastAsia="Calibri" w:hAnsi="Calibri" w:cs="Calibri"/>
      <w:b/>
      <w:bCs/>
      <w:color w:val="4F81BD"/>
      <w:sz w:val="26"/>
      <w:szCs w:val="26"/>
    </w:rPr>
  </w:style>
  <w:style w:type="paragraph" w:styleId="3">
    <w:name w:val="heading 3"/>
    <w:basedOn w:val="a0"/>
    <w:next w:val="a0"/>
    <w:pPr>
      <w:keepNext/>
      <w:keepLines/>
      <w:spacing w:before="200" w:after="0"/>
      <w:outlineLvl w:val="2"/>
    </w:pPr>
    <w:rPr>
      <w:rFonts w:ascii="Calibri" w:eastAsia="Calibri" w:hAnsi="Calibri" w:cs="Calibri"/>
      <w:b/>
      <w:bCs/>
      <w:color w:val="4F81BD"/>
    </w:rPr>
  </w:style>
  <w:style w:type="paragraph" w:styleId="4">
    <w:name w:val="heading 4"/>
    <w:basedOn w:val="a0"/>
    <w:next w:val="a0"/>
    <w:pPr>
      <w:keepNext/>
      <w:keepLines/>
      <w:spacing w:before="200" w:after="0"/>
      <w:outlineLvl w:val="3"/>
    </w:pPr>
    <w:rPr>
      <w:rFonts w:ascii="Calibri" w:eastAsia="Calibri" w:hAnsi="Calibri" w:cs="Calibri"/>
      <w:b/>
      <w:bCs/>
      <w:i/>
      <w:iCs/>
      <w:color w:val="4F81BD"/>
    </w:rPr>
  </w:style>
  <w:style w:type="paragraph" w:styleId="5">
    <w:name w:val="heading 5"/>
    <w:basedOn w:val="a0"/>
    <w:next w:val="a0"/>
    <w:pPr>
      <w:keepNext/>
      <w:keepLines/>
      <w:spacing w:before="200" w:after="0"/>
      <w:outlineLvl w:val="4"/>
    </w:pPr>
    <w:rPr>
      <w:rFonts w:ascii="Calibri" w:eastAsia="Calibri" w:hAnsi="Calibri" w:cs="Calibri"/>
      <w:color w:val="243F61"/>
    </w:rPr>
  </w:style>
  <w:style w:type="paragraph" w:styleId="6">
    <w:name w:val="heading 6"/>
    <w:basedOn w:val="a0"/>
    <w:next w:val="a0"/>
    <w:pPr>
      <w:keepNext/>
      <w:keepLines/>
      <w:spacing w:before="200" w:after="0"/>
      <w:outlineLvl w:val="5"/>
    </w:pPr>
    <w:rPr>
      <w:rFonts w:ascii="Calibri" w:eastAsia="Calibri" w:hAnsi="Calibri" w:cs="Calibri"/>
      <w:i/>
      <w:iCs/>
      <w:color w:val="243F61"/>
    </w:rPr>
  </w:style>
  <w:style w:type="paragraph" w:styleId="7">
    <w:name w:val="heading 7"/>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4">
    <w:name w:val="Title"/>
    <w:basedOn w:val="a0"/>
    <w:next w:val="a0"/>
    <w:pPr>
      <w:pBdr>
        <w:bottom w:val="single" w:sz="8" w:space="4" w:color="4F81BD"/>
      </w:pBdr>
      <w:spacing w:after="300" w:line="240" w:lineRule="auto"/>
    </w:pPr>
    <w:rPr>
      <w:rFonts w:ascii="Calibri" w:eastAsia="Calibri" w:hAnsi="Calibri" w:cs="Calibri"/>
      <w:b/>
      <w:bCs/>
      <w:color w:val="17365D"/>
      <w:sz w:val="30"/>
      <w:szCs w:val="30"/>
    </w:rPr>
  </w:style>
  <w:style w:type="table" w:customStyle="1" w:styleId="TableNormal0">
    <w:name w:val="TableNormal"/>
    <w:tblPr>
      <w:tblCellMar>
        <w:top w:w="100" w:type="dxa"/>
        <w:left w:w="100" w:type="dxa"/>
        <w:bottom w:w="100" w:type="dxa"/>
        <w:right w:w="100" w:type="dxa"/>
      </w:tblCellMar>
    </w:tblPr>
  </w:style>
  <w:style w:type="paragraph" w:styleId="a5">
    <w:name w:val="header"/>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1"/>
    <w:link w:val="a5"/>
    <w:uiPriority w:val="99"/>
    <w:rsid w:val="00E618BF"/>
  </w:style>
  <w:style w:type="paragraph" w:styleId="a7">
    <w:name w:val="footer"/>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1"/>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1"/>
    <w:uiPriority w:val="9"/>
    <w:rsid w:val="00FC693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1"/>
    <w:uiPriority w:val="9"/>
    <w:rsid w:val="00FC693F"/>
    <w:rPr>
      <w:rFonts w:asciiTheme="majorHAnsi" w:eastAsiaTheme="majorEastAsia" w:hAnsiTheme="majorHAnsi" w:cstheme="majorBidi"/>
      <w:b/>
      <w:bCs/>
      <w:color w:val="4F81BD" w:themeColor="accent1"/>
    </w:rPr>
  </w:style>
  <w:style w:type="character" w:customStyle="1" w:styleId="aa">
    <w:name w:val="Заголовок Знак"/>
    <w:basedOn w:val="a1"/>
    <w:uiPriority w:val="10"/>
    <w:rsid w:val="00FC693F"/>
    <w:rPr>
      <w:rFonts w:asciiTheme="majorHAnsi" w:eastAsiaTheme="majorEastAsia" w:hAnsiTheme="majorHAnsi" w:cstheme="majorBidi"/>
      <w:color w:val="17365D" w:themeColor="text2" w:themeShade="BF"/>
      <w:spacing w:val="5"/>
      <w:kern w:val="28"/>
      <w:sz w:val="52"/>
      <w:szCs w:val="52"/>
    </w:rPr>
  </w:style>
  <w:style w:type="character" w:customStyle="1" w:styleId="ab">
    <w:name w:val="Подзаголовок Знак"/>
    <w:basedOn w:val="a1"/>
    <w:uiPriority w:val="11"/>
    <w:rsid w:val="00FC693F"/>
    <w:rPr>
      <w:rFonts w:asciiTheme="majorHAnsi" w:eastAsiaTheme="majorEastAsia" w:hAnsiTheme="majorHAnsi" w:cstheme="majorBidi"/>
      <w:i/>
      <w:iCs/>
      <w:color w:val="4F81BD" w:themeColor="accent1"/>
      <w:spacing w:val="15"/>
      <w:sz w:val="24"/>
      <w:szCs w:val="24"/>
    </w:rPr>
  </w:style>
  <w:style w:type="paragraph" w:styleId="ac">
    <w:name w:val="List Paragraph"/>
    <w:uiPriority w:val="34"/>
    <w:qFormat/>
    <w:rsid w:val="00FC693F"/>
    <w:pPr>
      <w:ind w:left="720"/>
      <w:contextualSpacing/>
    </w:pPr>
  </w:style>
  <w:style w:type="paragraph" w:styleId="ad">
    <w:name w:val="Body Text"/>
    <w:link w:val="ae"/>
    <w:uiPriority w:val="99"/>
    <w:unhideWhenUsed/>
    <w:rsid w:val="00AA1D8D"/>
    <w:pPr>
      <w:spacing w:after="120"/>
    </w:pPr>
  </w:style>
  <w:style w:type="character" w:customStyle="1" w:styleId="ae">
    <w:name w:val="Основной текст Знак"/>
    <w:basedOn w:val="a1"/>
    <w:link w:val="ad"/>
    <w:uiPriority w:val="99"/>
    <w:rsid w:val="00AA1D8D"/>
  </w:style>
  <w:style w:type="paragraph" w:styleId="21">
    <w:name w:val="Body Text 2"/>
    <w:link w:val="22"/>
    <w:uiPriority w:val="99"/>
    <w:unhideWhenUsed/>
    <w:rsid w:val="00AA1D8D"/>
    <w:pPr>
      <w:spacing w:after="120" w:line="480" w:lineRule="auto"/>
    </w:pPr>
  </w:style>
  <w:style w:type="character" w:customStyle="1" w:styleId="22">
    <w:name w:val="Основной текст 2 Знак"/>
    <w:basedOn w:val="a1"/>
    <w:link w:val="21"/>
    <w:uiPriority w:val="99"/>
    <w:rsid w:val="00AA1D8D"/>
  </w:style>
  <w:style w:type="paragraph" w:styleId="31">
    <w:name w:val="Body Text 3"/>
    <w:link w:val="32"/>
    <w:uiPriority w:val="99"/>
    <w:unhideWhenUsed/>
    <w:rsid w:val="00AA1D8D"/>
    <w:pPr>
      <w:spacing w:after="120"/>
    </w:pPr>
    <w:rPr>
      <w:sz w:val="16"/>
      <w:szCs w:val="16"/>
    </w:rPr>
  </w:style>
  <w:style w:type="character" w:customStyle="1" w:styleId="32">
    <w:name w:val="Основной текст 3 Знак"/>
    <w:basedOn w:val="a1"/>
    <w:link w:val="31"/>
    <w:uiPriority w:val="99"/>
    <w:rsid w:val="00AA1D8D"/>
    <w:rPr>
      <w:sz w:val="16"/>
      <w:szCs w:val="16"/>
    </w:rPr>
  </w:style>
  <w:style w:type="paragraph" w:styleId="af">
    <w:name w:val="List"/>
    <w:uiPriority w:val="99"/>
    <w:unhideWhenUsed/>
    <w:rsid w:val="00AA1D8D"/>
    <w:pPr>
      <w:ind w:left="360" w:hanging="360"/>
      <w:contextualSpacing/>
    </w:pPr>
  </w:style>
  <w:style w:type="paragraph" w:styleId="23">
    <w:name w:val="List 2"/>
    <w:uiPriority w:val="99"/>
    <w:unhideWhenUsed/>
    <w:rsid w:val="00326F90"/>
    <w:pPr>
      <w:ind w:left="720" w:hanging="360"/>
      <w:contextualSpacing/>
    </w:pPr>
  </w:style>
  <w:style w:type="paragraph" w:styleId="33">
    <w:name w:val="List 3"/>
    <w:uiPriority w:val="99"/>
    <w:unhideWhenUsed/>
    <w:rsid w:val="00326F90"/>
    <w:pPr>
      <w:ind w:left="1080" w:hanging="360"/>
      <w:contextualSpacing/>
    </w:pPr>
  </w:style>
  <w:style w:type="paragraph" w:styleId="a">
    <w:name w:val="List Bullet"/>
    <w:uiPriority w:val="99"/>
    <w:unhideWhenUsed/>
    <w:rsid w:val="00326F90"/>
    <w:pPr>
      <w:numPr>
        <w:numId w:val="1"/>
      </w:numPr>
      <w:contextualSpacing/>
    </w:pPr>
  </w:style>
  <w:style w:type="paragraph" w:styleId="24">
    <w:name w:val="List Bullet 2"/>
    <w:uiPriority w:val="99"/>
    <w:unhideWhenUsed/>
    <w:rsid w:val="00326F90"/>
    <w:pPr>
      <w:tabs>
        <w:tab w:val="num" w:pos="720"/>
      </w:tabs>
      <w:ind w:left="720" w:hanging="720"/>
      <w:contextualSpacing/>
    </w:pPr>
  </w:style>
  <w:style w:type="paragraph" w:styleId="34">
    <w:name w:val="List Bullet 3"/>
    <w:uiPriority w:val="99"/>
    <w:unhideWhenUsed/>
    <w:rsid w:val="00326F90"/>
    <w:pPr>
      <w:tabs>
        <w:tab w:val="num" w:pos="720"/>
      </w:tabs>
      <w:ind w:left="720" w:hanging="720"/>
      <w:contextualSpacing/>
    </w:pPr>
  </w:style>
  <w:style w:type="paragraph" w:styleId="af0">
    <w:name w:val="List Number"/>
    <w:uiPriority w:val="99"/>
    <w:unhideWhenUsed/>
    <w:rsid w:val="00326F90"/>
    <w:pPr>
      <w:tabs>
        <w:tab w:val="num" w:pos="720"/>
      </w:tabs>
      <w:ind w:left="720" w:hanging="720"/>
      <w:contextualSpacing/>
    </w:pPr>
  </w:style>
  <w:style w:type="paragraph" w:styleId="25">
    <w:name w:val="List Number 2"/>
    <w:uiPriority w:val="99"/>
    <w:unhideWhenUsed/>
    <w:rsid w:val="0029639D"/>
    <w:pPr>
      <w:tabs>
        <w:tab w:val="num" w:pos="720"/>
      </w:tabs>
      <w:ind w:left="720" w:hanging="720"/>
      <w:contextualSpacing/>
    </w:pPr>
  </w:style>
  <w:style w:type="paragraph" w:styleId="35">
    <w:name w:val="List Number 3"/>
    <w:uiPriority w:val="99"/>
    <w:unhideWhenUsed/>
    <w:rsid w:val="0029639D"/>
    <w:pPr>
      <w:tabs>
        <w:tab w:val="num" w:pos="720"/>
      </w:tabs>
      <w:ind w:left="720" w:hanging="720"/>
      <w:contextualSpacing/>
    </w:pPr>
  </w:style>
  <w:style w:type="paragraph" w:styleId="af1">
    <w:name w:val="List Continue"/>
    <w:uiPriority w:val="99"/>
    <w:unhideWhenUsed/>
    <w:rsid w:val="0029639D"/>
    <w:pPr>
      <w:spacing w:after="120"/>
      <w:ind w:left="360"/>
      <w:contextualSpacing/>
    </w:pPr>
  </w:style>
  <w:style w:type="paragraph" w:styleId="26">
    <w:name w:val="List Continue 2"/>
    <w:uiPriority w:val="99"/>
    <w:unhideWhenUsed/>
    <w:rsid w:val="0029639D"/>
    <w:pPr>
      <w:spacing w:after="120"/>
      <w:ind w:left="720"/>
      <w:contextualSpacing/>
    </w:pPr>
  </w:style>
  <w:style w:type="paragraph" w:styleId="36">
    <w:name w:val="List Continue 3"/>
    <w:uiPriority w:val="99"/>
    <w:unhideWhenUsed/>
    <w:rsid w:val="0029639D"/>
    <w:pPr>
      <w:spacing w:after="120"/>
      <w:ind w:left="1080"/>
      <w:contextualSpacing/>
    </w:pPr>
  </w:style>
  <w:style w:type="paragraph" w:styleId="af2">
    <w:name w:val="macro"/>
    <w:link w:val="af3"/>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3">
    <w:name w:val="Текст макроса Знак"/>
    <w:basedOn w:val="a1"/>
    <w:link w:val="af2"/>
    <w:uiPriority w:val="99"/>
    <w:rsid w:val="0029639D"/>
    <w:rPr>
      <w:rFonts w:ascii="Courier" w:hAnsi="Courier"/>
      <w:sz w:val="20"/>
      <w:szCs w:val="20"/>
    </w:rPr>
  </w:style>
  <w:style w:type="paragraph" w:styleId="27">
    <w:name w:val="Quote"/>
    <w:link w:val="28"/>
    <w:uiPriority w:val="29"/>
    <w:qFormat/>
    <w:rsid w:val="00FC693F"/>
    <w:rPr>
      <w:i/>
      <w:iCs/>
      <w:color w:val="000000" w:themeColor="text1"/>
    </w:rPr>
  </w:style>
  <w:style w:type="character" w:customStyle="1" w:styleId="28">
    <w:name w:val="Цитата 2 Знак"/>
    <w:basedOn w:val="a1"/>
    <w:link w:val="27"/>
    <w:uiPriority w:val="29"/>
    <w:rsid w:val="00FC693F"/>
    <w:rPr>
      <w:i/>
      <w:iCs/>
      <w:color w:val="000000" w:themeColor="text1"/>
    </w:rPr>
  </w:style>
  <w:style w:type="character" w:customStyle="1" w:styleId="40">
    <w:name w:val="Заголовок 4 Знак"/>
    <w:basedOn w:val="a1"/>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1"/>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1"/>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1"/>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1"/>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1"/>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4">
    <w:name w:val="caption"/>
    <w:uiPriority w:val="35"/>
    <w:semiHidden/>
    <w:unhideWhenUsed/>
    <w:qFormat/>
    <w:rsid w:val="00FC693F"/>
    <w:pPr>
      <w:spacing w:line="240" w:lineRule="auto"/>
    </w:pPr>
    <w:rPr>
      <w:b/>
      <w:bCs/>
      <w:color w:val="4F81BD" w:themeColor="accent1"/>
      <w:sz w:val="18"/>
      <w:szCs w:val="18"/>
    </w:rPr>
  </w:style>
  <w:style w:type="character" w:styleId="af5">
    <w:name w:val="Strong"/>
    <w:basedOn w:val="a1"/>
    <w:uiPriority w:val="22"/>
    <w:qFormat/>
    <w:rsid w:val="00FC693F"/>
    <w:rPr>
      <w:b/>
      <w:bCs/>
    </w:rPr>
  </w:style>
  <w:style w:type="character" w:styleId="af6">
    <w:name w:val="Emphasis"/>
    <w:basedOn w:val="a1"/>
    <w:uiPriority w:val="20"/>
    <w:qFormat/>
    <w:rsid w:val="00FC693F"/>
    <w:rPr>
      <w:i/>
      <w:iCs/>
    </w:rPr>
  </w:style>
  <w:style w:type="paragraph" w:styleId="af7">
    <w:name w:val="Intense Quote"/>
    <w:link w:val="af8"/>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8">
    <w:name w:val="Выделенная цитата Знак"/>
    <w:basedOn w:val="a1"/>
    <w:link w:val="af7"/>
    <w:uiPriority w:val="30"/>
    <w:rsid w:val="00FC693F"/>
    <w:rPr>
      <w:b/>
      <w:bCs/>
      <w:i/>
      <w:iCs/>
      <w:color w:val="4F81BD" w:themeColor="accent1"/>
    </w:rPr>
  </w:style>
  <w:style w:type="character" w:styleId="af9">
    <w:name w:val="Subtle Emphasis"/>
    <w:basedOn w:val="a1"/>
    <w:uiPriority w:val="19"/>
    <w:qFormat/>
    <w:rsid w:val="00FC693F"/>
    <w:rPr>
      <w:i/>
      <w:iCs/>
      <w:color w:val="808080" w:themeColor="text1" w:themeTint="7F"/>
    </w:rPr>
  </w:style>
  <w:style w:type="character" w:styleId="afa">
    <w:name w:val="Intense Emphasis"/>
    <w:basedOn w:val="a1"/>
    <w:uiPriority w:val="21"/>
    <w:qFormat/>
    <w:rsid w:val="00FC693F"/>
    <w:rPr>
      <w:b/>
      <w:bCs/>
      <w:i/>
      <w:iCs/>
      <w:color w:val="4F81BD" w:themeColor="accent1"/>
    </w:rPr>
  </w:style>
  <w:style w:type="character" w:styleId="afb">
    <w:name w:val="Subtle Reference"/>
    <w:basedOn w:val="a1"/>
    <w:uiPriority w:val="31"/>
    <w:qFormat/>
    <w:rsid w:val="00FC693F"/>
    <w:rPr>
      <w:smallCaps/>
      <w:color w:val="C0504D" w:themeColor="accent2"/>
      <w:u w:val="single"/>
    </w:rPr>
  </w:style>
  <w:style w:type="character" w:styleId="afc">
    <w:name w:val="Intense Reference"/>
    <w:basedOn w:val="a1"/>
    <w:uiPriority w:val="32"/>
    <w:qFormat/>
    <w:rsid w:val="00FC693F"/>
    <w:rPr>
      <w:b/>
      <w:bCs/>
      <w:smallCaps/>
      <w:color w:val="C0504D" w:themeColor="accent2"/>
      <w:spacing w:val="5"/>
      <w:u w:val="single"/>
    </w:rPr>
  </w:style>
  <w:style w:type="character" w:styleId="afd">
    <w:name w:val="Book Title"/>
    <w:basedOn w:val="a1"/>
    <w:uiPriority w:val="33"/>
    <w:qFormat/>
    <w:rsid w:val="00FC693F"/>
    <w:rPr>
      <w:b/>
      <w:bCs/>
      <w:smallCaps/>
      <w:spacing w:val="5"/>
    </w:rPr>
  </w:style>
  <w:style w:type="paragraph" w:styleId="afe">
    <w:name w:val="TOC Heading"/>
    <w:uiPriority w:val="39"/>
    <w:semiHidden/>
    <w:unhideWhenUsed/>
    <w:qFormat/>
    <w:rsid w:val="00FC693F"/>
  </w:style>
  <w:style w:type="table" w:styleId="aff">
    <w:name w:val="Table Grid"/>
    <w:basedOn w:val="a2"/>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0">
    <w:name w:val="Light Shading"/>
    <w:basedOn w:val="a2"/>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2"/>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2"/>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2"/>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2"/>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2"/>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2"/>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1">
    <w:name w:val="Light List"/>
    <w:basedOn w:val="a2"/>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2"/>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2"/>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2"/>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2"/>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2"/>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2"/>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2">
    <w:name w:val="Light Grid"/>
    <w:basedOn w:val="a2"/>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2"/>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2"/>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2"/>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2"/>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2"/>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2"/>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2"/>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2"/>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2"/>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2"/>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2"/>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2"/>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2"/>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2"/>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2"/>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2"/>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2"/>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2"/>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2"/>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2"/>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2"/>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2"/>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2"/>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2"/>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2"/>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2"/>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2"/>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3">
    <w:name w:val="Dark List"/>
    <w:basedOn w:val="a2"/>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2"/>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2"/>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2"/>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2"/>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2"/>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2"/>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4">
    <w:name w:val="Colorful Shading"/>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2"/>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2"/>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2"/>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2"/>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5">
    <w:name w:val="Colorful List"/>
    <w:basedOn w:val="a2"/>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2"/>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2"/>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2"/>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2"/>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2"/>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2"/>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6">
    <w:name w:val="Colorful Grid"/>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ableText">
    <w:name w:val="TableText"/>
    <w:pPr>
      <w:spacing w:after="0" w:line="240" w:lineRule="auto"/>
    </w:pPr>
    <w:rPr>
      <w:sz w:val="18"/>
    </w:rPr>
  </w:style>
  <w:style w:type="paragraph" w:styleId="aff7">
    <w:name w:val="Revision"/>
    <w:hidden/>
    <w:uiPriority w:val="99"/>
    <w:semiHidden/>
    <w:rsid w:val="00F61736"/>
    <w:pPr>
      <w:spacing w:after="0" w:line="240" w:lineRule="auto"/>
    </w:pPr>
  </w:style>
  <w:style w:type="table" w:customStyle="1" w:styleId="aff8">
    <w:basedOn w:val="TableNormal0"/>
    <w:tblPr>
      <w:tblStyleRowBandSize w:val="1"/>
      <w:tblStyleColBandSize w:val="1"/>
      <w:tblCellMar>
        <w:top w:w="0" w:type="dxa"/>
        <w:left w:w="115" w:type="dxa"/>
        <w:bottom w:w="0" w:type="dxa"/>
        <w:right w:w="115" w:type="dxa"/>
      </w:tblCellMar>
    </w:tblPr>
  </w:style>
  <w:style w:type="table" w:customStyle="1" w:styleId="aff9">
    <w:basedOn w:val="TableNormal0"/>
    <w:tblPr>
      <w:tblStyleRowBandSize w:val="1"/>
      <w:tblStyleColBandSize w:val="1"/>
      <w:tblCellMar>
        <w:top w:w="0" w:type="dxa"/>
        <w:left w:w="115" w:type="dxa"/>
        <w:bottom w:w="0" w:type="dxa"/>
        <w:right w:w="115" w:type="dxa"/>
      </w:tblCellMar>
    </w:tblPr>
  </w:style>
  <w:style w:type="paragraph" w:styleId="affa">
    <w:name w:val="Subtitle"/>
    <w:basedOn w:val="a0"/>
    <w:next w:val="a0"/>
    <w:rPr>
      <w:rFonts w:ascii="Calibri" w:eastAsia="Calibri" w:hAnsi="Calibri" w:cs="Calibri"/>
      <w:i/>
      <w:iCs/>
      <w:color w:val="4F81BD"/>
      <w:sz w:val="24"/>
      <w:szCs w:val="24"/>
    </w:rPr>
  </w:style>
  <w:style w:type="table" w:customStyle="1" w:styleId="affb">
    <w:basedOn w:val="a2"/>
    <w:tblPr>
      <w:tblStyleRowBandSize w:val="1"/>
      <w:tblStyleColBandSize w:val="1"/>
      <w:tblCellMar>
        <w:left w:w="115" w:type="dxa"/>
        <w:right w:w="115" w:type="dxa"/>
      </w:tblCellMar>
    </w:tblPr>
  </w:style>
  <w:style w:type="table" w:customStyle="1" w:styleId="affc">
    <w:basedOn w:val="a2"/>
    <w:tblPr>
      <w:tblStyleRowBandSize w:val="1"/>
      <w:tblStyleColBandSize w:val="1"/>
      <w:tblCellMar>
        <w:left w:w="115" w:type="dxa"/>
        <w:right w:w="115"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kk"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style>
  <w:style w:type="paragraph" w:styleId="1">
    <w:name w:val="heading 1"/>
    <w:basedOn w:val="a0"/>
    <w:next w:val="a0"/>
    <w:pPr>
      <w:keepNext/>
      <w:keepLines/>
      <w:spacing w:before="480" w:after="0"/>
      <w:outlineLvl w:val="0"/>
    </w:pPr>
    <w:rPr>
      <w:rFonts w:ascii="Calibri" w:eastAsia="Calibri" w:hAnsi="Calibri" w:cs="Calibri"/>
      <w:b/>
      <w:bCs/>
      <w:color w:val="366091"/>
      <w:sz w:val="28"/>
      <w:szCs w:val="28"/>
    </w:rPr>
  </w:style>
  <w:style w:type="paragraph" w:styleId="2">
    <w:name w:val="heading 2"/>
    <w:basedOn w:val="a0"/>
    <w:next w:val="a0"/>
    <w:pPr>
      <w:keepNext/>
      <w:keepLines/>
      <w:spacing w:before="200" w:after="0"/>
      <w:outlineLvl w:val="1"/>
    </w:pPr>
    <w:rPr>
      <w:rFonts w:ascii="Calibri" w:eastAsia="Calibri" w:hAnsi="Calibri" w:cs="Calibri"/>
      <w:b/>
      <w:bCs/>
      <w:color w:val="4F81BD"/>
      <w:sz w:val="26"/>
      <w:szCs w:val="26"/>
    </w:rPr>
  </w:style>
  <w:style w:type="paragraph" w:styleId="3">
    <w:name w:val="heading 3"/>
    <w:basedOn w:val="a0"/>
    <w:next w:val="a0"/>
    <w:pPr>
      <w:keepNext/>
      <w:keepLines/>
      <w:spacing w:before="200" w:after="0"/>
      <w:outlineLvl w:val="2"/>
    </w:pPr>
    <w:rPr>
      <w:rFonts w:ascii="Calibri" w:eastAsia="Calibri" w:hAnsi="Calibri" w:cs="Calibri"/>
      <w:b/>
      <w:bCs/>
      <w:color w:val="4F81BD"/>
    </w:rPr>
  </w:style>
  <w:style w:type="paragraph" w:styleId="4">
    <w:name w:val="heading 4"/>
    <w:basedOn w:val="a0"/>
    <w:next w:val="a0"/>
    <w:pPr>
      <w:keepNext/>
      <w:keepLines/>
      <w:spacing w:before="200" w:after="0"/>
      <w:outlineLvl w:val="3"/>
    </w:pPr>
    <w:rPr>
      <w:rFonts w:ascii="Calibri" w:eastAsia="Calibri" w:hAnsi="Calibri" w:cs="Calibri"/>
      <w:b/>
      <w:bCs/>
      <w:i/>
      <w:iCs/>
      <w:color w:val="4F81BD"/>
    </w:rPr>
  </w:style>
  <w:style w:type="paragraph" w:styleId="5">
    <w:name w:val="heading 5"/>
    <w:basedOn w:val="a0"/>
    <w:next w:val="a0"/>
    <w:pPr>
      <w:keepNext/>
      <w:keepLines/>
      <w:spacing w:before="200" w:after="0"/>
      <w:outlineLvl w:val="4"/>
    </w:pPr>
    <w:rPr>
      <w:rFonts w:ascii="Calibri" w:eastAsia="Calibri" w:hAnsi="Calibri" w:cs="Calibri"/>
      <w:color w:val="243F61"/>
    </w:rPr>
  </w:style>
  <w:style w:type="paragraph" w:styleId="6">
    <w:name w:val="heading 6"/>
    <w:basedOn w:val="a0"/>
    <w:next w:val="a0"/>
    <w:pPr>
      <w:keepNext/>
      <w:keepLines/>
      <w:spacing w:before="200" w:after="0"/>
      <w:outlineLvl w:val="5"/>
    </w:pPr>
    <w:rPr>
      <w:rFonts w:ascii="Calibri" w:eastAsia="Calibri" w:hAnsi="Calibri" w:cs="Calibri"/>
      <w:i/>
      <w:iCs/>
      <w:color w:val="243F61"/>
    </w:rPr>
  </w:style>
  <w:style w:type="paragraph" w:styleId="7">
    <w:name w:val="heading 7"/>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4">
    <w:name w:val="Title"/>
    <w:basedOn w:val="a0"/>
    <w:next w:val="a0"/>
    <w:pPr>
      <w:pBdr>
        <w:bottom w:val="single" w:sz="8" w:space="4" w:color="4F81BD"/>
      </w:pBdr>
      <w:spacing w:after="300" w:line="240" w:lineRule="auto"/>
    </w:pPr>
    <w:rPr>
      <w:rFonts w:ascii="Calibri" w:eastAsia="Calibri" w:hAnsi="Calibri" w:cs="Calibri"/>
      <w:b/>
      <w:bCs/>
      <w:color w:val="17365D"/>
      <w:sz w:val="30"/>
      <w:szCs w:val="30"/>
    </w:rPr>
  </w:style>
  <w:style w:type="table" w:customStyle="1" w:styleId="TableNormal0">
    <w:name w:val="TableNormal"/>
    <w:tblPr>
      <w:tblCellMar>
        <w:top w:w="100" w:type="dxa"/>
        <w:left w:w="100" w:type="dxa"/>
        <w:bottom w:w="100" w:type="dxa"/>
        <w:right w:w="100" w:type="dxa"/>
      </w:tblCellMar>
    </w:tblPr>
  </w:style>
  <w:style w:type="paragraph" w:styleId="a5">
    <w:name w:val="header"/>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1"/>
    <w:link w:val="a5"/>
    <w:uiPriority w:val="99"/>
    <w:rsid w:val="00E618BF"/>
  </w:style>
  <w:style w:type="paragraph" w:styleId="a7">
    <w:name w:val="footer"/>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1"/>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1"/>
    <w:uiPriority w:val="9"/>
    <w:rsid w:val="00FC693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1"/>
    <w:uiPriority w:val="9"/>
    <w:rsid w:val="00FC693F"/>
    <w:rPr>
      <w:rFonts w:asciiTheme="majorHAnsi" w:eastAsiaTheme="majorEastAsia" w:hAnsiTheme="majorHAnsi" w:cstheme="majorBidi"/>
      <w:b/>
      <w:bCs/>
      <w:color w:val="4F81BD" w:themeColor="accent1"/>
    </w:rPr>
  </w:style>
  <w:style w:type="character" w:customStyle="1" w:styleId="aa">
    <w:name w:val="Заголовок Знак"/>
    <w:basedOn w:val="a1"/>
    <w:uiPriority w:val="10"/>
    <w:rsid w:val="00FC693F"/>
    <w:rPr>
      <w:rFonts w:asciiTheme="majorHAnsi" w:eastAsiaTheme="majorEastAsia" w:hAnsiTheme="majorHAnsi" w:cstheme="majorBidi"/>
      <w:color w:val="17365D" w:themeColor="text2" w:themeShade="BF"/>
      <w:spacing w:val="5"/>
      <w:kern w:val="28"/>
      <w:sz w:val="52"/>
      <w:szCs w:val="52"/>
    </w:rPr>
  </w:style>
  <w:style w:type="character" w:customStyle="1" w:styleId="ab">
    <w:name w:val="Подзаголовок Знак"/>
    <w:basedOn w:val="a1"/>
    <w:uiPriority w:val="11"/>
    <w:rsid w:val="00FC693F"/>
    <w:rPr>
      <w:rFonts w:asciiTheme="majorHAnsi" w:eastAsiaTheme="majorEastAsia" w:hAnsiTheme="majorHAnsi" w:cstheme="majorBidi"/>
      <w:i/>
      <w:iCs/>
      <w:color w:val="4F81BD" w:themeColor="accent1"/>
      <w:spacing w:val="15"/>
      <w:sz w:val="24"/>
      <w:szCs w:val="24"/>
    </w:rPr>
  </w:style>
  <w:style w:type="paragraph" w:styleId="ac">
    <w:name w:val="List Paragraph"/>
    <w:uiPriority w:val="34"/>
    <w:qFormat/>
    <w:rsid w:val="00FC693F"/>
    <w:pPr>
      <w:ind w:left="720"/>
      <w:contextualSpacing/>
    </w:pPr>
  </w:style>
  <w:style w:type="paragraph" w:styleId="ad">
    <w:name w:val="Body Text"/>
    <w:link w:val="ae"/>
    <w:uiPriority w:val="99"/>
    <w:unhideWhenUsed/>
    <w:rsid w:val="00AA1D8D"/>
    <w:pPr>
      <w:spacing w:after="120"/>
    </w:pPr>
  </w:style>
  <w:style w:type="character" w:customStyle="1" w:styleId="ae">
    <w:name w:val="Основной текст Знак"/>
    <w:basedOn w:val="a1"/>
    <w:link w:val="ad"/>
    <w:uiPriority w:val="99"/>
    <w:rsid w:val="00AA1D8D"/>
  </w:style>
  <w:style w:type="paragraph" w:styleId="21">
    <w:name w:val="Body Text 2"/>
    <w:link w:val="22"/>
    <w:uiPriority w:val="99"/>
    <w:unhideWhenUsed/>
    <w:rsid w:val="00AA1D8D"/>
    <w:pPr>
      <w:spacing w:after="120" w:line="480" w:lineRule="auto"/>
    </w:pPr>
  </w:style>
  <w:style w:type="character" w:customStyle="1" w:styleId="22">
    <w:name w:val="Основной текст 2 Знак"/>
    <w:basedOn w:val="a1"/>
    <w:link w:val="21"/>
    <w:uiPriority w:val="99"/>
    <w:rsid w:val="00AA1D8D"/>
  </w:style>
  <w:style w:type="paragraph" w:styleId="31">
    <w:name w:val="Body Text 3"/>
    <w:link w:val="32"/>
    <w:uiPriority w:val="99"/>
    <w:unhideWhenUsed/>
    <w:rsid w:val="00AA1D8D"/>
    <w:pPr>
      <w:spacing w:after="120"/>
    </w:pPr>
    <w:rPr>
      <w:sz w:val="16"/>
      <w:szCs w:val="16"/>
    </w:rPr>
  </w:style>
  <w:style w:type="character" w:customStyle="1" w:styleId="32">
    <w:name w:val="Основной текст 3 Знак"/>
    <w:basedOn w:val="a1"/>
    <w:link w:val="31"/>
    <w:uiPriority w:val="99"/>
    <w:rsid w:val="00AA1D8D"/>
    <w:rPr>
      <w:sz w:val="16"/>
      <w:szCs w:val="16"/>
    </w:rPr>
  </w:style>
  <w:style w:type="paragraph" w:styleId="af">
    <w:name w:val="List"/>
    <w:uiPriority w:val="99"/>
    <w:unhideWhenUsed/>
    <w:rsid w:val="00AA1D8D"/>
    <w:pPr>
      <w:ind w:left="360" w:hanging="360"/>
      <w:contextualSpacing/>
    </w:pPr>
  </w:style>
  <w:style w:type="paragraph" w:styleId="23">
    <w:name w:val="List 2"/>
    <w:uiPriority w:val="99"/>
    <w:unhideWhenUsed/>
    <w:rsid w:val="00326F90"/>
    <w:pPr>
      <w:ind w:left="720" w:hanging="360"/>
      <w:contextualSpacing/>
    </w:pPr>
  </w:style>
  <w:style w:type="paragraph" w:styleId="33">
    <w:name w:val="List 3"/>
    <w:uiPriority w:val="99"/>
    <w:unhideWhenUsed/>
    <w:rsid w:val="00326F90"/>
    <w:pPr>
      <w:ind w:left="1080" w:hanging="360"/>
      <w:contextualSpacing/>
    </w:pPr>
  </w:style>
  <w:style w:type="paragraph" w:styleId="a">
    <w:name w:val="List Bullet"/>
    <w:uiPriority w:val="99"/>
    <w:unhideWhenUsed/>
    <w:rsid w:val="00326F90"/>
    <w:pPr>
      <w:numPr>
        <w:numId w:val="1"/>
      </w:numPr>
      <w:contextualSpacing/>
    </w:pPr>
  </w:style>
  <w:style w:type="paragraph" w:styleId="24">
    <w:name w:val="List Bullet 2"/>
    <w:uiPriority w:val="99"/>
    <w:unhideWhenUsed/>
    <w:rsid w:val="00326F90"/>
    <w:pPr>
      <w:tabs>
        <w:tab w:val="num" w:pos="720"/>
      </w:tabs>
      <w:ind w:left="720" w:hanging="720"/>
      <w:contextualSpacing/>
    </w:pPr>
  </w:style>
  <w:style w:type="paragraph" w:styleId="34">
    <w:name w:val="List Bullet 3"/>
    <w:uiPriority w:val="99"/>
    <w:unhideWhenUsed/>
    <w:rsid w:val="00326F90"/>
    <w:pPr>
      <w:tabs>
        <w:tab w:val="num" w:pos="720"/>
      </w:tabs>
      <w:ind w:left="720" w:hanging="720"/>
      <w:contextualSpacing/>
    </w:pPr>
  </w:style>
  <w:style w:type="paragraph" w:styleId="af0">
    <w:name w:val="List Number"/>
    <w:uiPriority w:val="99"/>
    <w:unhideWhenUsed/>
    <w:rsid w:val="00326F90"/>
    <w:pPr>
      <w:tabs>
        <w:tab w:val="num" w:pos="720"/>
      </w:tabs>
      <w:ind w:left="720" w:hanging="720"/>
      <w:contextualSpacing/>
    </w:pPr>
  </w:style>
  <w:style w:type="paragraph" w:styleId="25">
    <w:name w:val="List Number 2"/>
    <w:uiPriority w:val="99"/>
    <w:unhideWhenUsed/>
    <w:rsid w:val="0029639D"/>
    <w:pPr>
      <w:tabs>
        <w:tab w:val="num" w:pos="720"/>
      </w:tabs>
      <w:ind w:left="720" w:hanging="720"/>
      <w:contextualSpacing/>
    </w:pPr>
  </w:style>
  <w:style w:type="paragraph" w:styleId="35">
    <w:name w:val="List Number 3"/>
    <w:uiPriority w:val="99"/>
    <w:unhideWhenUsed/>
    <w:rsid w:val="0029639D"/>
    <w:pPr>
      <w:tabs>
        <w:tab w:val="num" w:pos="720"/>
      </w:tabs>
      <w:ind w:left="720" w:hanging="720"/>
      <w:contextualSpacing/>
    </w:pPr>
  </w:style>
  <w:style w:type="paragraph" w:styleId="af1">
    <w:name w:val="List Continue"/>
    <w:uiPriority w:val="99"/>
    <w:unhideWhenUsed/>
    <w:rsid w:val="0029639D"/>
    <w:pPr>
      <w:spacing w:after="120"/>
      <w:ind w:left="360"/>
      <w:contextualSpacing/>
    </w:pPr>
  </w:style>
  <w:style w:type="paragraph" w:styleId="26">
    <w:name w:val="List Continue 2"/>
    <w:uiPriority w:val="99"/>
    <w:unhideWhenUsed/>
    <w:rsid w:val="0029639D"/>
    <w:pPr>
      <w:spacing w:after="120"/>
      <w:ind w:left="720"/>
      <w:contextualSpacing/>
    </w:pPr>
  </w:style>
  <w:style w:type="paragraph" w:styleId="36">
    <w:name w:val="List Continue 3"/>
    <w:uiPriority w:val="99"/>
    <w:unhideWhenUsed/>
    <w:rsid w:val="0029639D"/>
    <w:pPr>
      <w:spacing w:after="120"/>
      <w:ind w:left="1080"/>
      <w:contextualSpacing/>
    </w:pPr>
  </w:style>
  <w:style w:type="paragraph" w:styleId="af2">
    <w:name w:val="macro"/>
    <w:link w:val="af3"/>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3">
    <w:name w:val="Текст макроса Знак"/>
    <w:basedOn w:val="a1"/>
    <w:link w:val="af2"/>
    <w:uiPriority w:val="99"/>
    <w:rsid w:val="0029639D"/>
    <w:rPr>
      <w:rFonts w:ascii="Courier" w:hAnsi="Courier"/>
      <w:sz w:val="20"/>
      <w:szCs w:val="20"/>
    </w:rPr>
  </w:style>
  <w:style w:type="paragraph" w:styleId="27">
    <w:name w:val="Quote"/>
    <w:link w:val="28"/>
    <w:uiPriority w:val="29"/>
    <w:qFormat/>
    <w:rsid w:val="00FC693F"/>
    <w:rPr>
      <w:i/>
      <w:iCs/>
      <w:color w:val="000000" w:themeColor="text1"/>
    </w:rPr>
  </w:style>
  <w:style w:type="character" w:customStyle="1" w:styleId="28">
    <w:name w:val="Цитата 2 Знак"/>
    <w:basedOn w:val="a1"/>
    <w:link w:val="27"/>
    <w:uiPriority w:val="29"/>
    <w:rsid w:val="00FC693F"/>
    <w:rPr>
      <w:i/>
      <w:iCs/>
      <w:color w:val="000000" w:themeColor="text1"/>
    </w:rPr>
  </w:style>
  <w:style w:type="character" w:customStyle="1" w:styleId="40">
    <w:name w:val="Заголовок 4 Знак"/>
    <w:basedOn w:val="a1"/>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1"/>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1"/>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1"/>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1"/>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1"/>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4">
    <w:name w:val="caption"/>
    <w:uiPriority w:val="35"/>
    <w:semiHidden/>
    <w:unhideWhenUsed/>
    <w:qFormat/>
    <w:rsid w:val="00FC693F"/>
    <w:pPr>
      <w:spacing w:line="240" w:lineRule="auto"/>
    </w:pPr>
    <w:rPr>
      <w:b/>
      <w:bCs/>
      <w:color w:val="4F81BD" w:themeColor="accent1"/>
      <w:sz w:val="18"/>
      <w:szCs w:val="18"/>
    </w:rPr>
  </w:style>
  <w:style w:type="character" w:styleId="af5">
    <w:name w:val="Strong"/>
    <w:basedOn w:val="a1"/>
    <w:uiPriority w:val="22"/>
    <w:qFormat/>
    <w:rsid w:val="00FC693F"/>
    <w:rPr>
      <w:b/>
      <w:bCs/>
    </w:rPr>
  </w:style>
  <w:style w:type="character" w:styleId="af6">
    <w:name w:val="Emphasis"/>
    <w:basedOn w:val="a1"/>
    <w:uiPriority w:val="20"/>
    <w:qFormat/>
    <w:rsid w:val="00FC693F"/>
    <w:rPr>
      <w:i/>
      <w:iCs/>
    </w:rPr>
  </w:style>
  <w:style w:type="paragraph" w:styleId="af7">
    <w:name w:val="Intense Quote"/>
    <w:link w:val="af8"/>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8">
    <w:name w:val="Выделенная цитата Знак"/>
    <w:basedOn w:val="a1"/>
    <w:link w:val="af7"/>
    <w:uiPriority w:val="30"/>
    <w:rsid w:val="00FC693F"/>
    <w:rPr>
      <w:b/>
      <w:bCs/>
      <w:i/>
      <w:iCs/>
      <w:color w:val="4F81BD" w:themeColor="accent1"/>
    </w:rPr>
  </w:style>
  <w:style w:type="character" w:styleId="af9">
    <w:name w:val="Subtle Emphasis"/>
    <w:basedOn w:val="a1"/>
    <w:uiPriority w:val="19"/>
    <w:qFormat/>
    <w:rsid w:val="00FC693F"/>
    <w:rPr>
      <w:i/>
      <w:iCs/>
      <w:color w:val="808080" w:themeColor="text1" w:themeTint="7F"/>
    </w:rPr>
  </w:style>
  <w:style w:type="character" w:styleId="afa">
    <w:name w:val="Intense Emphasis"/>
    <w:basedOn w:val="a1"/>
    <w:uiPriority w:val="21"/>
    <w:qFormat/>
    <w:rsid w:val="00FC693F"/>
    <w:rPr>
      <w:b/>
      <w:bCs/>
      <w:i/>
      <w:iCs/>
      <w:color w:val="4F81BD" w:themeColor="accent1"/>
    </w:rPr>
  </w:style>
  <w:style w:type="character" w:styleId="afb">
    <w:name w:val="Subtle Reference"/>
    <w:basedOn w:val="a1"/>
    <w:uiPriority w:val="31"/>
    <w:qFormat/>
    <w:rsid w:val="00FC693F"/>
    <w:rPr>
      <w:smallCaps/>
      <w:color w:val="C0504D" w:themeColor="accent2"/>
      <w:u w:val="single"/>
    </w:rPr>
  </w:style>
  <w:style w:type="character" w:styleId="afc">
    <w:name w:val="Intense Reference"/>
    <w:basedOn w:val="a1"/>
    <w:uiPriority w:val="32"/>
    <w:qFormat/>
    <w:rsid w:val="00FC693F"/>
    <w:rPr>
      <w:b/>
      <w:bCs/>
      <w:smallCaps/>
      <w:color w:val="C0504D" w:themeColor="accent2"/>
      <w:spacing w:val="5"/>
      <w:u w:val="single"/>
    </w:rPr>
  </w:style>
  <w:style w:type="character" w:styleId="afd">
    <w:name w:val="Book Title"/>
    <w:basedOn w:val="a1"/>
    <w:uiPriority w:val="33"/>
    <w:qFormat/>
    <w:rsid w:val="00FC693F"/>
    <w:rPr>
      <w:b/>
      <w:bCs/>
      <w:smallCaps/>
      <w:spacing w:val="5"/>
    </w:rPr>
  </w:style>
  <w:style w:type="paragraph" w:styleId="afe">
    <w:name w:val="TOC Heading"/>
    <w:uiPriority w:val="39"/>
    <w:semiHidden/>
    <w:unhideWhenUsed/>
    <w:qFormat/>
    <w:rsid w:val="00FC693F"/>
  </w:style>
  <w:style w:type="table" w:styleId="aff">
    <w:name w:val="Table Grid"/>
    <w:basedOn w:val="a2"/>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0">
    <w:name w:val="Light Shading"/>
    <w:basedOn w:val="a2"/>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2"/>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2"/>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2"/>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2"/>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2"/>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2"/>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1">
    <w:name w:val="Light List"/>
    <w:basedOn w:val="a2"/>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2"/>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2"/>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2"/>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2"/>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2"/>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2"/>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2">
    <w:name w:val="Light Grid"/>
    <w:basedOn w:val="a2"/>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2"/>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2"/>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2"/>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2"/>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2"/>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2"/>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2"/>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2"/>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2"/>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2"/>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2"/>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2"/>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2"/>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2"/>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2"/>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2"/>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2"/>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2"/>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2"/>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2"/>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2"/>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2"/>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2"/>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2"/>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2"/>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2"/>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2"/>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3">
    <w:name w:val="Dark List"/>
    <w:basedOn w:val="a2"/>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2"/>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2"/>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2"/>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2"/>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2"/>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2"/>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4">
    <w:name w:val="Colorful Shading"/>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2"/>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2"/>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2"/>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2"/>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5">
    <w:name w:val="Colorful List"/>
    <w:basedOn w:val="a2"/>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2"/>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2"/>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2"/>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2"/>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2"/>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2"/>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6">
    <w:name w:val="Colorful Grid"/>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ableText">
    <w:name w:val="TableText"/>
    <w:pPr>
      <w:spacing w:after="0" w:line="240" w:lineRule="auto"/>
    </w:pPr>
    <w:rPr>
      <w:sz w:val="18"/>
    </w:rPr>
  </w:style>
  <w:style w:type="paragraph" w:styleId="aff7">
    <w:name w:val="Revision"/>
    <w:hidden/>
    <w:uiPriority w:val="99"/>
    <w:semiHidden/>
    <w:rsid w:val="00F61736"/>
    <w:pPr>
      <w:spacing w:after="0" w:line="240" w:lineRule="auto"/>
    </w:pPr>
  </w:style>
  <w:style w:type="table" w:customStyle="1" w:styleId="aff8">
    <w:basedOn w:val="TableNormal0"/>
    <w:tblPr>
      <w:tblStyleRowBandSize w:val="1"/>
      <w:tblStyleColBandSize w:val="1"/>
      <w:tblCellMar>
        <w:top w:w="0" w:type="dxa"/>
        <w:left w:w="115" w:type="dxa"/>
        <w:bottom w:w="0" w:type="dxa"/>
        <w:right w:w="115" w:type="dxa"/>
      </w:tblCellMar>
    </w:tblPr>
  </w:style>
  <w:style w:type="table" w:customStyle="1" w:styleId="aff9">
    <w:basedOn w:val="TableNormal0"/>
    <w:tblPr>
      <w:tblStyleRowBandSize w:val="1"/>
      <w:tblStyleColBandSize w:val="1"/>
      <w:tblCellMar>
        <w:top w:w="0" w:type="dxa"/>
        <w:left w:w="115" w:type="dxa"/>
        <w:bottom w:w="0" w:type="dxa"/>
        <w:right w:w="115" w:type="dxa"/>
      </w:tblCellMar>
    </w:tblPr>
  </w:style>
  <w:style w:type="paragraph" w:styleId="affa">
    <w:name w:val="Subtitle"/>
    <w:basedOn w:val="a0"/>
    <w:next w:val="a0"/>
    <w:rPr>
      <w:rFonts w:ascii="Calibri" w:eastAsia="Calibri" w:hAnsi="Calibri" w:cs="Calibri"/>
      <w:i/>
      <w:iCs/>
      <w:color w:val="4F81BD"/>
      <w:sz w:val="24"/>
      <w:szCs w:val="24"/>
    </w:rPr>
  </w:style>
  <w:style w:type="table" w:customStyle="1" w:styleId="affb">
    <w:basedOn w:val="a2"/>
    <w:tblPr>
      <w:tblStyleRowBandSize w:val="1"/>
      <w:tblStyleColBandSize w:val="1"/>
      <w:tblCellMar>
        <w:left w:w="115" w:type="dxa"/>
        <w:right w:w="115" w:type="dxa"/>
      </w:tblCellMar>
    </w:tblPr>
  </w:style>
  <w:style w:type="table" w:customStyle="1" w:styleId="affc">
    <w:basedOn w:val="a2"/>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JpLfGYFTuldKMNEPcZ9rXXbSxg==">CgMxLjA4AHIhMVE0S1J5XzBLczdFZ1pWR3licldqYWVwa2pvbU02RDh0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2054</Words>
  <Characters>11708</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Тапсырыс беруші үшін дайындалды</dc:creator>
  <cp:lastModifiedBy>Администратор</cp:lastModifiedBy>
  <cp:revision>3</cp:revision>
  <dcterms:created xsi:type="dcterms:W3CDTF">2026-10-12T11:15:00Z</dcterms:created>
  <dcterms:modified xsi:type="dcterms:W3CDTF">2026-10-23T06:35:00Z</dcterms:modified>
</cp:coreProperties>
</file>