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62C6876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center"/>
        <w:rPr>
          <w:b w:val="1"/>
        </w:rPr>
      </w:pPr>
      <w:r>
        <w:rPr>
          <w:b w:val="1"/>
        </w:rPr>
        <w:t>Техническая спецификация</w:t>
      </w:r>
    </w:p>
    <w:p>
      <w:pPr>
        <w:rPr>
          <w:b w:val="1"/>
        </w:rPr>
      </w:pPr>
      <w:r>
        <w:rPr>
          <w:b w:val="1"/>
        </w:rPr>
        <w:t>Техническое обслуживание маммографического аппарата (диагностика неисправностей, настройка и калибровка)</w:t>
      </w:r>
    </w:p>
    <w:p>
      <w:r>
        <w:t>Поставщик обязуется выполнить комплекс работ по техническому обслуживанию маммографического аппарата, включая диагностику, выявление неисправностей, настройку и калибровку оборудования.</w:t>
      </w:r>
    </w:p>
    <w:p>
      <w:pPr>
        <w:rPr>
          <w:b w:val="1"/>
        </w:rPr>
      </w:pPr>
      <w:r>
        <w:rPr>
          <w:b w:val="1"/>
        </w:rPr>
        <w:t>В рамках услуги Поставщик обязан:</w:t>
      </w:r>
    </w:p>
    <w:p>
      <w:pPr>
        <w:rPr>
          <w:b w:val="1"/>
        </w:rPr>
      </w:pPr>
      <w:r>
        <w:rPr>
          <w:b w:val="1"/>
        </w:rPr>
        <w:t>Провести полную диагностику оборудования:</w:t>
      </w:r>
    </w:p>
    <w:p>
      <w:pPr>
        <w:numPr>
          <w:ilvl w:val="0"/>
          <w:numId w:val="4"/>
        </w:numPr>
      </w:pPr>
      <w:r>
        <w:t>выявление причин возникновения ошибки (инициализация системы)</w:t>
      </w:r>
    </w:p>
    <w:p>
      <w:pPr>
        <w:numPr>
          <w:ilvl w:val="0"/>
          <w:numId w:val="4"/>
        </w:numPr>
      </w:pPr>
      <w:r>
        <w:t>проверка работоспособности аппаратной части</w:t>
      </w:r>
    </w:p>
    <w:p>
      <w:pPr>
        <w:rPr>
          <w:b w:val="1"/>
        </w:rPr>
      </w:pPr>
      <w:r>
        <w:rPr>
          <w:b w:val="1"/>
        </w:rPr>
        <w:t>Провести проверку программного обеспечения:</w:t>
      </w:r>
    </w:p>
    <w:p>
      <w:pPr>
        <w:numPr>
          <w:ilvl w:val="0"/>
          <w:numId w:val="5"/>
        </w:numPr>
      </w:pPr>
      <w:r>
        <w:t>работоспособность установленного ПО</w:t>
      </w:r>
    </w:p>
    <w:p>
      <w:pPr>
        <w:numPr>
          <w:ilvl w:val="0"/>
          <w:numId w:val="5"/>
        </w:numPr>
      </w:pPr>
      <w:r>
        <w:t>проверка лицензий</w:t>
      </w:r>
    </w:p>
    <w:p>
      <w:pPr>
        <w:numPr>
          <w:ilvl w:val="0"/>
          <w:numId w:val="5"/>
        </w:numPr>
      </w:pPr>
      <w:r>
        <w:t>проверка базы данных</w:t>
      </w:r>
    </w:p>
    <w:p>
      <w:pPr>
        <w:rPr>
          <w:b w:val="1"/>
        </w:rPr>
      </w:pPr>
      <w:r>
        <w:rPr>
          <w:b w:val="1"/>
        </w:rPr>
        <w:t>При необходимости выполнить:</w:t>
      </w:r>
    </w:p>
    <w:p>
      <w:pPr>
        <w:numPr>
          <w:ilvl w:val="0"/>
          <w:numId w:val="6"/>
        </w:numPr>
      </w:pPr>
      <w:r>
        <w:t>настройку программного обеспечения</w:t>
      </w:r>
    </w:p>
    <w:p>
      <w:pPr>
        <w:numPr>
          <w:ilvl w:val="0"/>
          <w:numId w:val="6"/>
        </w:numPr>
      </w:pPr>
      <w:r>
        <w:t>устранение программных сбоев</w:t>
      </w:r>
    </w:p>
    <w:p>
      <w:pPr>
        <w:numPr>
          <w:ilvl w:val="0"/>
          <w:numId w:val="6"/>
        </w:numPr>
      </w:pPr>
      <w:r>
        <w:t>восстановление работоспособности оборудования в пределах оказываемой услуги (без замены комплектующих и дополнительных затрат)</w:t>
      </w:r>
    </w:p>
    <w:p>
      <w:pPr>
        <w:numPr>
          <w:ilvl w:val="0"/>
          <w:numId w:val="6"/>
        </w:numPr>
      </w:pPr>
      <w:r>
        <w:t>калибровку оборудования</w:t>
      </w:r>
    </w:p>
    <w:p>
      <w:pPr>
        <w:rPr>
          <w:b w:val="1"/>
        </w:rPr>
      </w:pPr>
      <w:r>
        <w:rPr>
          <w:b w:val="1"/>
        </w:rPr>
        <w:t>По результатам оказания услуги предоставить:</w:t>
      </w:r>
    </w:p>
    <w:p>
      <w:pPr>
        <w:numPr>
          <w:ilvl w:val="0"/>
          <w:numId w:val="7"/>
        </w:numPr>
      </w:pPr>
      <w:r>
        <w:t>дефектный акт с указанием выявленных неисправностей</w:t>
      </w:r>
    </w:p>
    <w:p>
      <w:pPr>
        <w:numPr>
          <w:ilvl w:val="0"/>
          <w:numId w:val="7"/>
        </w:numPr>
      </w:pPr>
      <w:r>
        <w:t>техническое заключение с рекомендациями по устранению неисправностей (при необходимости ремонта или замены)</w:t>
      </w:r>
    </w:p>
    <w:p>
      <w:pPr>
        <w:rPr>
          <w:b w:val="1"/>
        </w:rPr>
      </w:pPr>
      <w:r>
        <w:rPr>
          <w:b w:val="1"/>
        </w:rPr>
        <w:t>Результат услуги:</w:t>
      </w:r>
    </w:p>
    <w:p>
      <w:pPr>
        <w:numPr>
          <w:ilvl w:val="0"/>
          <w:numId w:val="8"/>
        </w:numPr>
      </w:pPr>
      <w:r>
        <w:t>определена точная причина неисправности</w:t>
      </w:r>
    </w:p>
    <w:p>
      <w:pPr>
        <w:numPr>
          <w:ilvl w:val="0"/>
          <w:numId w:val="8"/>
        </w:numPr>
      </w:pPr>
      <w:r>
        <w:t>выполнено устранение неисправностей (при возможности)</w:t>
      </w:r>
    </w:p>
    <w:p>
      <w:pPr>
        <w:numPr>
          <w:ilvl w:val="0"/>
          <w:numId w:val="8"/>
        </w:numPr>
      </w:pPr>
      <w:r>
        <w:t>предоставлено официальное техническое заключение</w:t>
      </w:r>
    </w:p>
    <w:p>
      <w:pPr>
        <w:spacing w:before="100" w:after="100"/>
        <w:ind w:firstLine="0" w:left="360" w:right="0"/>
        <w:rPr>
          <w:rFonts w:ascii="Arial" w:hAnsi="Arial"/>
          <w:b w:val="1"/>
          <w:i w:val="0"/>
          <w:color w:val="auto"/>
          <w:sz w:val="22"/>
          <w:shd w:val="clear" w:fill="FFFFFF"/>
        </w:rPr>
      </w:pPr>
      <w:r>
        <w:rPr>
          <w:b w:val="1"/>
          <w:color w:val="auto"/>
          <w:sz w:val="22"/>
          <w:shd w:val="clear" w:fill="FFFFFF"/>
        </w:rPr>
        <w:t>Срок оказания услуг-</w:t>
      </w:r>
      <w:bookmarkStart w:id="0" w:name="_dx_frag_StartFragment"/>
      <w:bookmarkEnd w:id="0"/>
      <w:r>
        <w:rPr>
          <w:rFonts w:ascii="Arial" w:hAnsi="Arial"/>
          <w:b w:val="1"/>
          <w:i w:val="0"/>
          <w:color w:val="auto"/>
          <w:sz w:val="22"/>
          <w:shd w:val="clear" w:fill="FFFFFF"/>
        </w:rPr>
        <w:t>15 календарных дней со дня момента подписания договора</w:t>
      </w:r>
    </w:p>
    <w:p>
      <w:pPr>
        <w:spacing w:before="0" w:after="140"/>
        <w:ind w:firstLine="0" w:left="0" w:right="0"/>
        <w:jc w:val="center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bookmarkStart w:id="1" w:name="_dx_frag_StartFragment"/>
      <w:bookmarkEnd w:id="1"/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 xml:space="preserve">Техникалық сипаттама </w:t>
      </w:r>
    </w:p>
    <w:p>
      <w:pPr>
        <w:spacing w:before="0" w:after="120"/>
        <w:ind w:firstLine="0" w:left="0" w:right="0"/>
        <w:jc w:val="left"/>
        <w:rPr>
          <w:rFonts w:ascii="Calibri" w:hAnsi="Calibri"/>
          <w:b w:val="1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>Маммография аппаратына техникалық қызмет көрсету (ақауларды диагностикалау, баптау және калибрлеу)</w:t>
      </w:r>
    </w:p>
    <w:p>
      <w:pPr>
        <w:spacing w:before="0" w:after="120"/>
        <w:ind w:firstLine="0" w:left="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Жеткізуші маммография аппаратына техникалық қызмет көрсету бойынша кешенді жұмыстарды орындауға міндеттенеді, оның ішінде ақауларды диагностикалау, анықтау, жабдықты баптау және калибрлеу.</w:t>
      </w:r>
    </w:p>
    <w:p>
      <w:pPr>
        <w:spacing w:before="0" w:after="120"/>
        <w:ind w:firstLine="0" w:left="0" w:right="0"/>
        <w:jc w:val="left"/>
        <w:rPr>
          <w:rFonts w:ascii="Calibri" w:hAnsi="Calibri"/>
          <w:b w:val="1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>Қызмет көрсету шеңберінде Жеткізуші міндетті:</w:t>
      </w:r>
    </w:p>
    <w:p>
      <w:pPr>
        <w:numPr>
          <w:ilvl w:val="0"/>
          <w:numId w:val="9"/>
        </w:numPr>
        <w:spacing w:before="0" w:after="120"/>
        <w:ind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Жабдыққа толық диагностика жүргізу:</w:t>
      </w:r>
    </w:p>
    <w:p>
      <w:pPr>
        <w:numPr>
          <w:ilvl w:val="0"/>
          <w:numId w:val="9"/>
        </w:numPr>
        <w:spacing w:before="0" w:after="120"/>
        <w:ind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ақаудың пайда болу себептерін анықтау (инициализация қатесі)</w:t>
      </w:r>
    </w:p>
    <w:p>
      <w:pPr>
        <w:numPr>
          <w:ilvl w:val="0"/>
          <w:numId w:val="9"/>
        </w:numPr>
        <w:spacing w:before="0" w:after="120"/>
        <w:ind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аппараттың техникалық (аппараттық) бөлігінің жұмыс қабілеттілігін тексеру</w:t>
      </w:r>
    </w:p>
    <w:p>
      <w:pPr>
        <w:spacing w:before="0" w:after="120"/>
        <w:ind w:hanging="360" w:left="720" w:right="0"/>
        <w:jc w:val="left"/>
        <w:rPr>
          <w:rFonts w:ascii="Calibri" w:hAnsi="Calibri"/>
          <w:b w:val="1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>Бағдарламалық қамтамасыз етуді тексеру:</w:t>
      </w:r>
    </w:p>
    <w:p>
      <w:pPr>
        <w:numPr>
          <w:ilvl w:val="0"/>
          <w:numId w:val="11"/>
        </w:numPr>
        <w:spacing w:before="0" w:after="120"/>
        <w:ind w:hanging="2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орнатылған бағдарламаның жұмысын тексеру</w:t>
      </w:r>
    </w:p>
    <w:p>
      <w:pPr>
        <w:numPr>
          <w:ilvl w:val="0"/>
          <w:numId w:val="11"/>
        </w:numPr>
        <w:spacing w:before="0" w:after="120"/>
        <w:ind w:hanging="2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лицензиялардың жарамдылығын тексеру</w:t>
      </w:r>
    </w:p>
    <w:p>
      <w:pPr>
        <w:numPr>
          <w:ilvl w:val="0"/>
          <w:numId w:val="11"/>
        </w:numPr>
        <w:spacing w:before="0" w:after="120"/>
        <w:ind w:hanging="2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деректер базасының (база данных) жағдайын тексеру</w:t>
      </w:r>
    </w:p>
    <w:p>
      <w:pPr>
        <w:spacing w:before="0" w:after="120"/>
        <w:ind w:hanging="0" w:left="0" w:right="0"/>
        <w:jc w:val="left"/>
        <w:rPr>
          <w:rFonts w:ascii="Calibri" w:hAnsi="Calibri"/>
          <w:b w:val="1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 xml:space="preserve">         </w:t>
      </w:r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>Қажет болған жағдайда орындау:</w:t>
      </w:r>
    </w:p>
    <w:p>
      <w:pPr>
        <w:numPr>
          <w:ilvl w:val="0"/>
          <w:numId w:val="12"/>
        </w:numPr>
        <w:spacing w:before="0" w:after="120"/>
        <w:ind w:hanging="2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бағдарламалық қамтамасыз етуді баптау</w:t>
      </w:r>
    </w:p>
    <w:p>
      <w:pPr>
        <w:numPr>
          <w:ilvl w:val="0"/>
          <w:numId w:val="12"/>
        </w:numPr>
        <w:spacing w:before="0" w:after="120"/>
        <w:ind w:hanging="2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бағдарламалық ақауларды жою</w:t>
      </w:r>
    </w:p>
    <w:p>
      <w:pPr>
        <w:numPr>
          <w:ilvl w:val="0"/>
          <w:numId w:val="12"/>
        </w:numPr>
        <w:spacing w:before="0" w:after="120"/>
        <w:ind w:hanging="2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жабдықтың жұмыс қабілеттілігін көрсетілетін қызмет шеңберінде қалпына келтіру (қосалқы бөлшектерді ауыстырмай және қосымша шығындарсыз)</w:t>
      </w:r>
    </w:p>
    <w:p>
      <w:pPr>
        <w:numPr>
          <w:ilvl w:val="0"/>
          <w:numId w:val="12"/>
        </w:numPr>
        <w:spacing w:before="0" w:after="120"/>
        <w:ind w:hanging="2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жабдықты калибрлеу</w:t>
      </w:r>
    </w:p>
    <w:p>
      <w:pPr>
        <w:spacing w:before="0" w:after="120"/>
        <w:ind w:hanging="360" w:left="720" w:right="0"/>
        <w:jc w:val="left"/>
        <w:rPr>
          <w:rFonts w:ascii="Calibri" w:hAnsi="Calibri"/>
          <w:b w:val="1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>Қызмет нәтижесі бойынша ұсыну:</w:t>
      </w:r>
    </w:p>
    <w:p>
      <w:pPr>
        <w:numPr>
          <w:ilvl w:val="0"/>
          <w:numId w:val="13"/>
        </w:numPr>
        <w:spacing w:before="0" w:after="120"/>
        <w:ind w:hanging="4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анықталған ақаулар көрсетілген дефектілік акт</w:t>
      </w:r>
    </w:p>
    <w:p>
      <w:pPr>
        <w:numPr>
          <w:ilvl w:val="0"/>
          <w:numId w:val="13"/>
        </w:numPr>
        <w:spacing w:before="0" w:after="120"/>
        <w:ind w:hanging="40" w:left="28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жөндеу немесе ауыстыру қажет болған жағдайда техникалық қорытынды және ұсыныстар</w:t>
      </w:r>
    </w:p>
    <w:p>
      <w:pPr>
        <w:spacing w:before="0" w:after="120"/>
        <w:ind w:firstLine="0" w:left="0" w:right="0"/>
        <w:jc w:val="left"/>
        <w:rPr>
          <w:rFonts w:ascii="Calibri" w:hAnsi="Calibri"/>
          <w:b w:val="1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>Қызмет нәтижесі:</w:t>
      </w:r>
    </w:p>
    <w:p>
      <w:pPr>
        <w:numPr>
          <w:ilvl w:val="0"/>
          <w:numId w:val="3"/>
        </w:numPr>
        <w:spacing w:before="0" w:after="120"/>
        <w:ind w:hanging="360" w:left="72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ақаудың нақты себебі анықталады</w:t>
      </w:r>
    </w:p>
    <w:p>
      <w:pPr>
        <w:numPr>
          <w:ilvl w:val="0"/>
          <w:numId w:val="3"/>
        </w:numPr>
        <w:spacing w:before="0" w:after="120"/>
        <w:ind w:hanging="360" w:left="720" w:right="0"/>
        <w:jc w:val="left"/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мүмкін болған жағдайда ақаулар жойылады</w:t>
      </w:r>
    </w:p>
    <w:p>
      <w:pPr>
        <w:numPr>
          <w:ilvl w:val="0"/>
          <w:numId w:val="3"/>
        </w:numPr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0"/>
          <w:i w:val="0"/>
          <w:color w:val="2C2D2E"/>
          <w:sz w:val="22"/>
          <w:shd w:val="clear" w:fill="FFFFFF"/>
        </w:rPr>
        <w:t>ресми техникалық қорытынды ұсынылады</w:t>
      </w:r>
    </w:p>
    <w:p>
      <w:pPr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</w:p>
    <w:p>
      <w:pPr>
        <w:jc w:val="center"/>
        <w:rPr>
          <w:rFonts w:ascii="Calibri" w:hAnsi="Calibri"/>
          <w:b w:val="1"/>
          <w:i w:val="0"/>
          <w:color w:val="2C2D2E"/>
          <w:sz w:val="22"/>
          <w:shd w:val="clear" w:fill="FFFFFF"/>
        </w:rPr>
      </w:pPr>
      <w:r>
        <w:rPr>
          <w:rFonts w:ascii="Calibri" w:hAnsi="Calibri"/>
          <w:b w:val="1"/>
          <w:i w:val="0"/>
          <w:color w:val="2C2D2E"/>
          <w:sz w:val="22"/>
          <w:shd w:val="clear" w:fill="FFFFFF"/>
        </w:rPr>
        <w:t>Қызмет көрсету мерзімі - шартқа қол қойылған күннен бастап 15 күнтізбелік күн</w:t>
      </w:r>
    </w:p>
    <w:p>
      <w:pPr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</w:p>
    <w:p>
      <w:pPr>
        <w:rPr>
          <w:rFonts w:ascii="Calibri" w:hAnsi="Calibri"/>
          <w:b w:val="0"/>
          <w:i w:val="0"/>
          <w:color w:val="2C2D2E"/>
          <w:sz w:val="22"/>
          <w:shd w:val="clear" w:fill="FFFFFF"/>
        </w:rPr>
      </w:pPr>
    </w:p>
    <w:p>
      <w:pPr>
        <w:jc w:val="center"/>
        <w:rPr>
          <w:b w:val="1"/>
        </w:rPr>
      </w:pPr>
    </w:p>
    <w:p>
      <w:pPr>
        <w:jc w:val="center"/>
        <w:rPr>
          <w:b w:val="1"/>
        </w:rPr>
      </w:pPr>
      <w:r>
        <w:rPr>
          <w:b w:val="1"/>
        </w:rPr>
        <w:t>СКРИНШОТ О</w:t>
      </w:r>
      <w:r>
        <w:rPr>
          <w:b w:val="1"/>
        </w:rPr>
        <w:t>ШИБКИ</w:t>
      </w:r>
      <w:r>
        <w:rPr>
          <w:b w:val="1"/>
        </w:rPr>
        <w:t>/ҚАТЕ СКРИНШОТЫ</w:t>
      </w:r>
    </w:p>
    <w:p>
      <w:r>
        <w:drawing>
          <wp:inline xmlns:wp="http://schemas.openxmlformats.org/drawingml/2006/wordprocessingDrawing">
            <wp:extent cx="3073400" cy="28702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8702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3060700" cy="29146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29146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/>
    <w:p>
      <w:r>
        <w:drawing>
          <wp:inline xmlns:wp="http://schemas.openxmlformats.org/drawingml/2006/wordprocessingDrawing">
            <wp:extent cx="3543300" cy="33401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3401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sectPr>
      <w:type w:val="nextPage"/>
      <w:pgMar w:left="1700" w:right="850" w:top="48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5D3F72C9"/>
    <w:multiLevelType w:val="hybridMultilevel"/>
    <w:lvl w:ilvl="0" w:tplc="22F0FDBC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71427D2C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63446F86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242A653D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68DD50CE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36ED97B7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79BF49C7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30A1614A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1263D63A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1">
    <w:nsid w:val="73C1A7F4"/>
    <w:multiLevelType w:val="hybridMultilevel"/>
    <w:lvl w:ilvl="0" w:tplc="78F026E8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4395F0C2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7423D989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206649FB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11AAE30E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283F1D2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2C93957E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62658A75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711A1F44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2">
    <w:nsid w:val="050A9BC9"/>
    <w:multiLevelType w:val="hybridMultilevel"/>
    <w:lvl w:ilvl="0" w:tplc="62CEF9FF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504F994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45F9750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5A2BD408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65F4D8E7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23250C3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49CD8C02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1B596F0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75797BD6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3">
    <w:nsid w:val="466AD156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4">
    <w:nsid w:val="3AC334B5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5">
    <w:nsid w:val="22ADDF8E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6">
    <w:nsid w:val="451ED7C8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7">
    <w:nsid w:val="4725DAEC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8">
    <w:nsid w:val="2C0BBCA3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9">
    <w:nsid w:val="6E9F3F33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720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7920"/>
      </w:pPr>
      <w:rPr>
        <w:rFonts w:ascii="Symbol" w:hAnsi="Symbol"/>
      </w:rPr>
    </w:lvl>
  </w:abstractNum>
  <w:abstractNum w:abstractNumId="10">
    <w:nsid w:val="1D282223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114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186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258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330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402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474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546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618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6900"/>
      </w:pPr>
      <w:rPr>
        <w:rFonts w:ascii="Symbol" w:hAnsi="Symbol"/>
      </w:rPr>
    </w:lvl>
  </w:abstractNum>
  <w:abstractNum w:abstractNumId="11">
    <w:nsid w:val="707EF8B1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100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172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244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316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388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460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532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604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6760"/>
      </w:pPr>
      <w:rPr>
        <w:rFonts w:ascii="Symbol" w:hAnsi="Symbol"/>
      </w:rPr>
    </w:lvl>
  </w:abstractNum>
  <w:abstractNum w:abstractNumId="12">
    <w:nsid w:val="0046A37A"/>
    <w:multiLevelType w:val="hybridMultilevel"/>
    <w:lvl w:ilvl="0" w:tplc="43AA80D4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1" w:tplc="23683487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2" w:tplc="0237C007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3" w:tplc="1DF4A9FD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4" w:tplc="56D93674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5" w:tplc="773BD8BD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6" w:tplc="5D4C6FA6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  <w:lvl w:ilvl="7" w:tplc="42F87361">
      <w:start w:val="1"/>
      <w:numFmt w:val="bullet"/>
      <w:suff w:val="tab"/>
      <w:lvlText w:val="o"/>
      <w:lvlJc w:val="left"/>
      <w:pPr>
        <w:ind w:hanging="360" w:left="7200"/>
      </w:pPr>
      <w:rPr>
        <w:rFonts w:ascii="Symbol" w:hAnsi="Symbol"/>
      </w:rPr>
    </w:lvl>
    <w:lvl w:ilvl="8" w:tplc="4159DF05">
      <w:start w:val="1"/>
      <w:numFmt w:val="bullet"/>
      <w:suff w:val="tab"/>
      <w:lvlText w:val="·"/>
      <w:lvlJc w:val="left"/>
      <w:pPr>
        <w:ind w:hanging="360" w:left="792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3" Type="http://schemas.openxmlformats.org/officeDocument/2006/relationships/image" Target="/media/image3.jpg" /><Relationship Id="Relimage1" Type="http://schemas.openxmlformats.org/officeDocument/2006/relationships/image" Target="/media/image1.jpg" /><Relationship Id="Relimage2" Type="http://schemas.openxmlformats.org/officeDocument/2006/relationships/image" Target="/media/image2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