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522" w:rsidRDefault="00A71522" w:rsidP="00A71522">
      <w:pPr>
        <w:pStyle w:val="a3"/>
      </w:pPr>
      <w:bookmarkStart w:id="0" w:name="_GoBack"/>
      <w:bookmarkEnd w:id="0"/>
      <w:r>
        <w:rPr>
          <w:noProof/>
        </w:rPr>
        <w:drawing>
          <wp:inline distT="0" distB="0" distL="0" distR="0" wp14:anchorId="0580C936" wp14:editId="37617555">
            <wp:extent cx="5788025" cy="5295568"/>
            <wp:effectExtent l="0" t="0" r="3175" b="635"/>
            <wp:docPr id="4" name="Рисунок 4" descr="C:\Users\d.abdrahmanov\Desktop\спич трибу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.abdrahmanov\Desktop\спич трибун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259" cy="531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Техническая спецификация</w:t>
      </w:r>
    </w:p>
    <w:p w:rsidR="00C65345" w:rsidRDefault="00C65345" w:rsidP="00A71522">
      <w:pPr>
        <w:spacing w:after="0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Срок поставки: </w:t>
      </w:r>
      <w:r w:rsidRPr="00C65345">
        <w:rPr>
          <w:rFonts w:ascii="Times New Roman" w:hAnsi="Times New Roman" w:cs="Times New Roman"/>
          <w:bCs/>
          <w:sz w:val="28"/>
          <w:szCs w:val="28"/>
          <w:lang w:val="ru-RU"/>
        </w:rPr>
        <w:t>16 календарных дней со дня подписания Договора</w:t>
      </w:r>
    </w:p>
    <w:p w:rsidR="00C65345" w:rsidRPr="00C65345" w:rsidRDefault="00C65345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65345">
        <w:rPr>
          <w:rFonts w:ascii="Times New Roman" w:hAnsi="Times New Roman" w:cs="Times New Roman"/>
          <w:b/>
          <w:bCs/>
          <w:sz w:val="28"/>
          <w:szCs w:val="28"/>
          <w:lang w:val="ru-RU"/>
        </w:rPr>
        <w:t>Место поставки: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г.Астана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проспект.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Женис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15А.</w:t>
      </w:r>
    </w:p>
    <w:p w:rsidR="00A71522" w:rsidRPr="00A71522" w:rsidRDefault="00A71522" w:rsidP="00A7152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b/>
          <w:bCs/>
          <w:sz w:val="28"/>
          <w:szCs w:val="28"/>
          <w:lang w:val="ru-RU"/>
        </w:rPr>
        <w:t>Изделие:</w:t>
      </w: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 Напольная трибуна (пюпитр) для выступлений</w:t>
      </w:r>
    </w:p>
    <w:p w:rsidR="00A71522" w:rsidRP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Назначение</w:t>
      </w:r>
    </w:p>
    <w:p w:rsidR="00A71522" w:rsidRPr="00A71522" w:rsidRDefault="00A71522" w:rsidP="00A7152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>Предназначена для проведения конференций, презентаций, лекций, семинаров, выставок и других публичных мероприятий.</w:t>
      </w:r>
    </w:p>
    <w:p w:rsidR="00A71522" w:rsidRP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b/>
          <w:bCs/>
          <w:sz w:val="28"/>
          <w:szCs w:val="28"/>
        </w:rPr>
        <w:t>Конструкция</w:t>
      </w:r>
      <w:proofErr w:type="spellEnd"/>
    </w:p>
    <w:p w:rsidR="00A71522" w:rsidRPr="00A71522" w:rsidRDefault="00A71522" w:rsidP="00A71522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sz w:val="28"/>
          <w:szCs w:val="28"/>
        </w:rPr>
        <w:t>Тип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напольная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стационарная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трибуна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522" w:rsidRPr="00A71522" w:rsidRDefault="00A71522" w:rsidP="00A71522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Конструкция: комбинированная, с декоративной опорной стойкой. </w:t>
      </w:r>
    </w:p>
    <w:p w:rsidR="00A71522" w:rsidRPr="00A71522" w:rsidRDefault="00A71522" w:rsidP="00A71522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sz w:val="28"/>
          <w:szCs w:val="28"/>
        </w:rPr>
        <w:lastRenderedPageBreak/>
        <w:t>Основание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прямоугольное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устойчивое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522" w:rsidRPr="00A71522" w:rsidRDefault="00A71522" w:rsidP="00A71522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Рабочая поверхность: верхняя площадка для размещения документов, ноутбука или планшета. </w:t>
      </w:r>
    </w:p>
    <w:p w:rsidR="00A71522" w:rsidRPr="00A71522" w:rsidRDefault="00A71522" w:rsidP="00A71522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Дополнительный элемент: декоративная металлическая дугообразная опора. </w:t>
      </w:r>
    </w:p>
    <w:p w:rsidR="00A71522" w:rsidRP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b/>
          <w:bCs/>
          <w:sz w:val="28"/>
          <w:szCs w:val="28"/>
        </w:rPr>
        <w:t>Материалы</w:t>
      </w:r>
      <w:proofErr w:type="spellEnd"/>
    </w:p>
    <w:p w:rsidR="00A71522" w:rsidRPr="00A71522" w:rsidRDefault="00A71522" w:rsidP="00A71522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Основная несущая стойка: МДФ или многослойная фанера с декоративным покрытием. </w:t>
      </w:r>
    </w:p>
    <w:p w:rsidR="00A71522" w:rsidRPr="00A71522" w:rsidRDefault="00A71522" w:rsidP="00A71522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Верхняя площадка: МДФ с защитным покрытием. </w:t>
      </w:r>
    </w:p>
    <w:p w:rsidR="00A71522" w:rsidRPr="00A71522" w:rsidRDefault="00A71522" w:rsidP="00A71522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Основание и декоративные элементы: нержавеющая сталь или сталь с хромированным покрытием. </w:t>
      </w:r>
    </w:p>
    <w:p w:rsidR="00A71522" w:rsidRPr="00A71522" w:rsidRDefault="00A71522" w:rsidP="00A71522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Крепежные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элементы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металлические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антикоррозионные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522" w:rsidRP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b/>
          <w:bCs/>
          <w:sz w:val="28"/>
          <w:szCs w:val="28"/>
        </w:rPr>
        <w:t>Покрытие</w:t>
      </w:r>
      <w:proofErr w:type="spellEnd"/>
    </w:p>
    <w:p w:rsidR="00A71522" w:rsidRPr="00A71522" w:rsidRDefault="00A71522" w:rsidP="00A71522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Деревянные элементы: лакокрасочное покрытие, цвет </w:t>
      </w:r>
      <w:r w:rsidR="00C65345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C65345" w:rsidRPr="00C65345">
        <w:rPr>
          <w:rFonts w:ascii="Times New Roman" w:hAnsi="Times New Roman" w:cs="Times New Roman"/>
          <w:sz w:val="28"/>
          <w:szCs w:val="28"/>
          <w:lang w:val="ru-RU"/>
        </w:rPr>
        <w:t xml:space="preserve"> согласованию с </w:t>
      </w:r>
      <w:r w:rsidR="00C65345">
        <w:rPr>
          <w:rFonts w:ascii="Times New Roman" w:hAnsi="Times New Roman" w:cs="Times New Roman"/>
          <w:sz w:val="28"/>
          <w:szCs w:val="28"/>
          <w:lang w:val="ru-RU"/>
        </w:rPr>
        <w:t>Заказчиком</w:t>
      </w: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A71522" w:rsidRPr="00A71522" w:rsidRDefault="00A71522" w:rsidP="00A71522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Металлические элементы: полированная нержавеющая сталь либо хромирование. </w:t>
      </w:r>
    </w:p>
    <w:p w:rsidR="00A71522" w:rsidRP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b/>
          <w:bCs/>
          <w:sz w:val="28"/>
          <w:szCs w:val="28"/>
        </w:rPr>
        <w:t>Ориентировочные</w:t>
      </w:r>
      <w:proofErr w:type="spellEnd"/>
      <w:r w:rsidRPr="00A715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b/>
          <w:bCs/>
          <w:sz w:val="28"/>
          <w:szCs w:val="28"/>
        </w:rPr>
        <w:t>габаритные</w:t>
      </w:r>
      <w:proofErr w:type="spellEnd"/>
      <w:r w:rsidRPr="00A715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b/>
          <w:bCs/>
          <w:sz w:val="28"/>
          <w:szCs w:val="28"/>
        </w:rPr>
        <w:t>размеры</w:t>
      </w:r>
      <w:proofErr w:type="spellEnd"/>
    </w:p>
    <w:p w:rsidR="00A71522" w:rsidRPr="00A71522" w:rsidRDefault="00A71522" w:rsidP="00A71522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Высота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: 1100–1200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мм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522" w:rsidRPr="00A71522" w:rsidRDefault="00A71522" w:rsidP="00A71522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sz w:val="28"/>
          <w:szCs w:val="28"/>
        </w:rPr>
        <w:t>Ширина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основания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: 450–550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мм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522" w:rsidRPr="00A71522" w:rsidRDefault="00A71522" w:rsidP="00A71522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Глубина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основания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: 350–450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мм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522" w:rsidRPr="00A71522" w:rsidRDefault="00A71522" w:rsidP="00A71522">
      <w:pPr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sz w:val="28"/>
          <w:szCs w:val="28"/>
        </w:rPr>
        <w:t>Размер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столешницы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: 400–500 × 300–400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мм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522" w:rsidRP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b/>
          <w:bCs/>
          <w:sz w:val="28"/>
          <w:szCs w:val="28"/>
        </w:rPr>
        <w:t>Эксплуатационные</w:t>
      </w:r>
      <w:proofErr w:type="spellEnd"/>
      <w:r w:rsidRPr="00A715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b/>
          <w:bCs/>
          <w:sz w:val="28"/>
          <w:szCs w:val="28"/>
        </w:rPr>
        <w:t>характеристики</w:t>
      </w:r>
      <w:proofErr w:type="spellEnd"/>
    </w:p>
    <w:p w:rsidR="00A71522" w:rsidRPr="00A71522" w:rsidRDefault="00A71522" w:rsidP="00A71522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Устойчивая конструкция, исключающая опрокидывание при нормальной эксплуатации. </w:t>
      </w:r>
    </w:p>
    <w:p w:rsidR="00A71522" w:rsidRPr="00A71522" w:rsidRDefault="00A71522" w:rsidP="00A71522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Поверхность устойчива к истиранию и воздействию бытовых моющих средств. </w:t>
      </w:r>
    </w:p>
    <w:p w:rsidR="00A71522" w:rsidRPr="00A71522" w:rsidRDefault="00A71522" w:rsidP="00A71522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Отсутствие острых кромок и заусенцев. </w:t>
      </w:r>
    </w:p>
    <w:p w:rsidR="00A71522" w:rsidRPr="00A71522" w:rsidRDefault="00A71522" w:rsidP="00A71522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>Возможность эксплуатации в помещениях при температуре от +10 °</w:t>
      </w:r>
      <w:r w:rsidRPr="00A71522">
        <w:rPr>
          <w:rFonts w:ascii="Times New Roman" w:hAnsi="Times New Roman" w:cs="Times New Roman"/>
          <w:sz w:val="28"/>
          <w:szCs w:val="28"/>
        </w:rPr>
        <w:t>C</w:t>
      </w: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 до +35 °</w:t>
      </w:r>
      <w:r w:rsidRPr="00A71522">
        <w:rPr>
          <w:rFonts w:ascii="Times New Roman" w:hAnsi="Times New Roman" w:cs="Times New Roman"/>
          <w:sz w:val="28"/>
          <w:szCs w:val="28"/>
        </w:rPr>
        <w:t>C</w:t>
      </w: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 и относительной влажности до 80%. </w:t>
      </w:r>
    </w:p>
    <w:p w:rsidR="00A71522" w:rsidRP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b/>
          <w:bCs/>
          <w:sz w:val="28"/>
          <w:szCs w:val="28"/>
        </w:rPr>
        <w:t>Комплект</w:t>
      </w:r>
      <w:proofErr w:type="spellEnd"/>
      <w:r w:rsidRPr="00A715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b/>
          <w:bCs/>
          <w:sz w:val="28"/>
          <w:szCs w:val="28"/>
        </w:rPr>
        <w:t>поставки</w:t>
      </w:r>
      <w:proofErr w:type="spellEnd"/>
    </w:p>
    <w:p w:rsidR="00A71522" w:rsidRPr="00A71522" w:rsidRDefault="00A71522" w:rsidP="00A71522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sz w:val="28"/>
          <w:szCs w:val="28"/>
        </w:rPr>
        <w:t>Трибуна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сборе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 — </w:t>
      </w:r>
      <w:proofErr w:type="gramStart"/>
      <w:r w:rsidRPr="00A7152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71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522" w:rsidRPr="00A71522" w:rsidRDefault="00A71522" w:rsidP="00A71522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Комплект крепежа (при необходимости) — 1 </w:t>
      </w:r>
      <w:proofErr w:type="spellStart"/>
      <w:r w:rsidRPr="00A71522">
        <w:rPr>
          <w:rFonts w:ascii="Times New Roman" w:hAnsi="Times New Roman" w:cs="Times New Roman"/>
          <w:sz w:val="28"/>
          <w:szCs w:val="28"/>
          <w:lang w:val="ru-RU"/>
        </w:rPr>
        <w:t>компл</w:t>
      </w:r>
      <w:proofErr w:type="spellEnd"/>
      <w:r w:rsidRPr="00A71522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A71522" w:rsidRPr="00A71522" w:rsidRDefault="00A71522" w:rsidP="00A71522">
      <w:pPr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Паспорт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изделия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 — </w:t>
      </w:r>
      <w:proofErr w:type="gramStart"/>
      <w:r w:rsidRPr="00A71522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A71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522" w:rsidRP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b/>
          <w:bCs/>
          <w:sz w:val="28"/>
          <w:szCs w:val="28"/>
        </w:rPr>
        <w:t>Масса</w:t>
      </w:r>
      <w:proofErr w:type="spellEnd"/>
    </w:p>
    <w:p w:rsidR="00A71522" w:rsidRPr="00A71522" w:rsidRDefault="00A71522" w:rsidP="00A71522">
      <w:pPr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Ориентировочно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: 15–25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кг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71522" w:rsidRPr="00A71522" w:rsidRDefault="00A71522" w:rsidP="00A7152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b/>
          <w:bCs/>
          <w:sz w:val="28"/>
          <w:szCs w:val="28"/>
        </w:rPr>
        <w:t>Гарантия</w:t>
      </w:r>
      <w:proofErr w:type="spellEnd"/>
    </w:p>
    <w:p w:rsidR="00A71522" w:rsidRDefault="00A71522" w:rsidP="00A71522">
      <w:pPr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менее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A71522">
        <w:rPr>
          <w:rFonts w:ascii="Times New Roman" w:hAnsi="Times New Roman" w:cs="Times New Roman"/>
          <w:sz w:val="28"/>
          <w:szCs w:val="28"/>
        </w:rPr>
        <w:t>месяцев</w:t>
      </w:r>
      <w:proofErr w:type="spellEnd"/>
      <w:r w:rsidRPr="00A7152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ерекшелік</w:t>
      </w:r>
      <w:proofErr w:type="spellEnd"/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lastRenderedPageBreak/>
        <w:t>Жеткізу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мерзімі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C65345">
        <w:rPr>
          <w:rFonts w:ascii="Times New Roman" w:hAnsi="Times New Roman" w:cs="Times New Roman"/>
          <w:b/>
          <w:bCs/>
          <w:sz w:val="28"/>
          <w:szCs w:val="28"/>
          <w:lang w:val="ru-RU"/>
        </w:rPr>
        <w:t>Жеткізу орны: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r w:rsidRPr="00C65345">
        <w:rPr>
          <w:rFonts w:ascii="Times New Roman" w:hAnsi="Times New Roman" w:cs="Times New Roman"/>
          <w:sz w:val="28"/>
          <w:szCs w:val="28"/>
          <w:lang w:val="ru-RU"/>
        </w:rPr>
        <w:t>Астана қ., Жеңіс даңғылы, 15А.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C65345">
        <w:rPr>
          <w:rFonts w:ascii="Times New Roman" w:hAnsi="Times New Roman" w:cs="Times New Roman"/>
          <w:b/>
          <w:bCs/>
          <w:sz w:val="28"/>
          <w:szCs w:val="28"/>
          <w:lang w:val="ru-RU"/>
        </w:rPr>
        <w:t>Бұйым: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r w:rsidRPr="00C65345">
        <w:rPr>
          <w:rFonts w:ascii="Times New Roman" w:hAnsi="Times New Roman" w:cs="Times New Roman"/>
          <w:sz w:val="28"/>
          <w:szCs w:val="28"/>
          <w:lang w:val="ru-RU"/>
        </w:rPr>
        <w:t>Сөйлеуге арналған еденге орнатылатын мінбер (пюпитр).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65345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Мақсаты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sz w:val="28"/>
          <w:szCs w:val="28"/>
          <w:lang w:val="ru-RU"/>
        </w:rPr>
      </w:pPr>
      <w:r w:rsidRPr="00C65345">
        <w:rPr>
          <w:rFonts w:ascii="Times New Roman" w:hAnsi="Times New Roman" w:cs="Times New Roman"/>
          <w:sz w:val="28"/>
          <w:szCs w:val="28"/>
          <w:lang w:val="ru-RU"/>
        </w:rPr>
        <w:t>Конференциялар, презентациялар, дәрістер, семинарлар, көрмелер және басқа да көпшілік іс-шараларды өткізуге арналған.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Конструкциясы</w:t>
      </w:r>
      <w:proofErr w:type="spellEnd"/>
    </w:p>
    <w:p w:rsidR="00C65345" w:rsidRPr="00C65345" w:rsidRDefault="00C65345" w:rsidP="00C65345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65345">
        <w:rPr>
          <w:rFonts w:ascii="Times New Roman" w:hAnsi="Times New Roman" w:cs="Times New Roman"/>
          <w:b/>
          <w:bCs/>
          <w:sz w:val="28"/>
          <w:szCs w:val="28"/>
          <w:lang w:val="ru-RU"/>
        </w:rPr>
        <w:t>Түрі: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r w:rsidRPr="00C65345">
        <w:rPr>
          <w:rFonts w:ascii="Times New Roman" w:hAnsi="Times New Roman" w:cs="Times New Roman"/>
          <w:sz w:val="28"/>
          <w:szCs w:val="28"/>
          <w:lang w:val="ru-RU"/>
        </w:rPr>
        <w:t>еденге орнатылатын стационарлық мінбер.</w:t>
      </w:r>
    </w:p>
    <w:p w:rsidR="00C65345" w:rsidRPr="00C65345" w:rsidRDefault="00C65345" w:rsidP="00C65345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65345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Конструкциясы: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r w:rsidRPr="00C65345">
        <w:rPr>
          <w:rFonts w:ascii="Times New Roman" w:hAnsi="Times New Roman" w:cs="Times New Roman"/>
          <w:sz w:val="28"/>
          <w:szCs w:val="28"/>
          <w:lang w:val="ru-RU"/>
        </w:rPr>
        <w:t>сәндік тіреуіш бағанасы бар құрама конструкция.</w:t>
      </w:r>
    </w:p>
    <w:p w:rsidR="00C65345" w:rsidRPr="00C65345" w:rsidRDefault="00C65345" w:rsidP="00C65345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Негізі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тікбұрышты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орнықты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Жұмыс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беті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ноутбукты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планшетті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орналастыруға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жоғарғы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алаң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Қосымша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элементі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металл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доға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тәрізді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тіреуіш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Материалдары</w:t>
      </w:r>
      <w:proofErr w:type="spellEnd"/>
    </w:p>
    <w:p w:rsidR="00C65345" w:rsidRPr="00C65345" w:rsidRDefault="00C65345" w:rsidP="00C65345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Негізгі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көтергіш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бағана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бар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МДФ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көп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қабатты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фанера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Жоғарғы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алаңы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қорғаныш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бар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МДФ.</w:t>
      </w:r>
    </w:p>
    <w:p w:rsidR="00C65345" w:rsidRPr="00C65345" w:rsidRDefault="00C65345" w:rsidP="00C65345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Негізі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сәндік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элементтері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тот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баспайтын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болат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хромдалған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бар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болат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10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Бекіту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элементтері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металл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коррозияға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қарсы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қорғанышы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бар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Жабыны</w:t>
      </w:r>
      <w:proofErr w:type="spellEnd"/>
    </w:p>
    <w:p w:rsidR="00C65345" w:rsidRPr="00C65345" w:rsidRDefault="00C65345" w:rsidP="00C65345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Ағаш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элементтері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лак-бояу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жабыны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C65345">
        <w:rPr>
          <w:rFonts w:ascii="Times New Roman" w:hAnsi="Times New Roman" w:cs="Times New Roman"/>
          <w:b/>
          <w:bCs/>
          <w:sz w:val="28"/>
          <w:szCs w:val="28"/>
          <w:lang w:val="ru-RU"/>
        </w:rPr>
        <w:t>Металл элементтері:</w:t>
      </w:r>
      <w:r w:rsidRPr="00C65345">
        <w:rPr>
          <w:rFonts w:ascii="Times New Roman" w:hAnsi="Times New Roman" w:cs="Times New Roman"/>
          <w:sz w:val="28"/>
          <w:szCs w:val="28"/>
        </w:rPr>
        <w:t> </w:t>
      </w:r>
      <w:r w:rsidRPr="00C65345">
        <w:rPr>
          <w:rFonts w:ascii="Times New Roman" w:hAnsi="Times New Roman" w:cs="Times New Roman"/>
          <w:sz w:val="28"/>
          <w:szCs w:val="28"/>
          <w:lang w:val="ru-RU"/>
        </w:rPr>
        <w:t>жылтыратылған тот баспайтын болат немесе хромдау.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Шамамен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алынған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габариттік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өлшемдері</w:t>
      </w:r>
      <w:proofErr w:type="spellEnd"/>
    </w:p>
    <w:p w:rsidR="00C65345" w:rsidRPr="00C65345" w:rsidRDefault="00C65345" w:rsidP="00C65345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Биіктігі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 xml:space="preserve"> 1100–1200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мм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Негізінің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ені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 xml:space="preserve"> 450–550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мм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Негізінің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тереңдігі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 xml:space="preserve"> 350–450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мм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Үстелше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өлшемі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 xml:space="preserve"> 400–500 × 300–400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мм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Пайдалану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сипаттамалары</w:t>
      </w:r>
      <w:proofErr w:type="spellEnd"/>
    </w:p>
    <w:p w:rsidR="00C65345" w:rsidRPr="00C65345" w:rsidRDefault="00C65345" w:rsidP="00C65345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Қалыпты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аударылып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кетуді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болдырмайтын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орнықты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конструкция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қажалуға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тұрмыстық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жуғыш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құралдардың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әсеріне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sz w:val="28"/>
          <w:szCs w:val="28"/>
        </w:rPr>
        <w:t>Өткір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жиектері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мен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қылаулары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1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65345">
        <w:rPr>
          <w:rFonts w:ascii="Times New Roman" w:hAnsi="Times New Roman" w:cs="Times New Roman"/>
          <w:sz w:val="28"/>
          <w:szCs w:val="28"/>
        </w:rPr>
        <w:t>+10 °C-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тан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+35 °C-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температурада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салыстырмалы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ылғалдылығы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80%-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үй-жайларда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Жеткізу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жиынтығы</w:t>
      </w:r>
      <w:proofErr w:type="spellEnd"/>
    </w:p>
    <w:p w:rsidR="00C65345" w:rsidRPr="00C65345" w:rsidRDefault="00C65345" w:rsidP="00C65345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Құрастырылған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мінбер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— </w:t>
      </w:r>
      <w:proofErr w:type="gramStart"/>
      <w:r w:rsidRPr="00C65345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дана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sz w:val="28"/>
          <w:szCs w:val="28"/>
        </w:rPr>
        <w:lastRenderedPageBreak/>
        <w:t>Бекіту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жиынтығы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) — </w:t>
      </w:r>
      <w:proofErr w:type="gramStart"/>
      <w:r w:rsidRPr="00C65345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жиынтық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numPr>
          <w:ilvl w:val="0"/>
          <w:numId w:val="14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Бұйымның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паспорты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 xml:space="preserve"> — </w:t>
      </w:r>
      <w:proofErr w:type="gramStart"/>
      <w:r w:rsidRPr="00C65345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C65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дана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Салмағы</w:t>
      </w:r>
      <w:proofErr w:type="spellEnd"/>
    </w:p>
    <w:p w:rsidR="00C65345" w:rsidRPr="00C65345" w:rsidRDefault="00C65345" w:rsidP="00C65345">
      <w:pPr>
        <w:numPr>
          <w:ilvl w:val="0"/>
          <w:numId w:val="15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Шамамен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C65345">
        <w:rPr>
          <w:rFonts w:ascii="Times New Roman" w:hAnsi="Times New Roman" w:cs="Times New Roman"/>
          <w:sz w:val="28"/>
          <w:szCs w:val="28"/>
        </w:rPr>
        <w:t xml:space="preserve"> 15–25 </w:t>
      </w:r>
      <w:proofErr w:type="spellStart"/>
      <w:r w:rsidRPr="00C65345">
        <w:rPr>
          <w:rFonts w:ascii="Times New Roman" w:hAnsi="Times New Roman" w:cs="Times New Roman"/>
          <w:sz w:val="28"/>
          <w:szCs w:val="28"/>
        </w:rPr>
        <w:t>кг</w:t>
      </w:r>
      <w:proofErr w:type="spellEnd"/>
      <w:r w:rsidRPr="00C65345">
        <w:rPr>
          <w:rFonts w:ascii="Times New Roman" w:hAnsi="Times New Roman" w:cs="Times New Roman"/>
          <w:sz w:val="28"/>
          <w:szCs w:val="28"/>
        </w:rPr>
        <w:t>.</w:t>
      </w:r>
    </w:p>
    <w:p w:rsidR="00C65345" w:rsidRPr="00C65345" w:rsidRDefault="00C65345" w:rsidP="00C65345">
      <w:pPr>
        <w:spacing w:after="0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Кепілдік</w:t>
      </w:r>
      <w:proofErr w:type="spellEnd"/>
    </w:p>
    <w:p w:rsidR="00C65345" w:rsidRPr="00C65345" w:rsidRDefault="00C65345" w:rsidP="00C65345">
      <w:pPr>
        <w:numPr>
          <w:ilvl w:val="0"/>
          <w:numId w:val="16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Кемінде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 xml:space="preserve"> 12 </w:t>
      </w:r>
      <w:proofErr w:type="spellStart"/>
      <w:r w:rsidRPr="00C65345">
        <w:rPr>
          <w:rFonts w:ascii="Times New Roman" w:hAnsi="Times New Roman" w:cs="Times New Roman"/>
          <w:b/>
          <w:bCs/>
          <w:sz w:val="28"/>
          <w:szCs w:val="28"/>
        </w:rPr>
        <w:t>ай</w:t>
      </w:r>
      <w:proofErr w:type="spellEnd"/>
      <w:r w:rsidRPr="00C6534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C65345" w:rsidRPr="00A71522" w:rsidRDefault="00C65345" w:rsidP="00C65345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</w:p>
    <w:p w:rsidR="00733143" w:rsidRPr="00A71522" w:rsidRDefault="005D0FEF" w:rsidP="00A71522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sectPr w:rsidR="00733143" w:rsidRPr="00A7152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E6234"/>
    <w:multiLevelType w:val="multilevel"/>
    <w:tmpl w:val="7B444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EE094A"/>
    <w:multiLevelType w:val="multilevel"/>
    <w:tmpl w:val="30325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753B03"/>
    <w:multiLevelType w:val="multilevel"/>
    <w:tmpl w:val="50F41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2C2355"/>
    <w:multiLevelType w:val="multilevel"/>
    <w:tmpl w:val="4D726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1724A1"/>
    <w:multiLevelType w:val="multilevel"/>
    <w:tmpl w:val="B9E61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783F3F"/>
    <w:multiLevelType w:val="multilevel"/>
    <w:tmpl w:val="40BCC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904C4B"/>
    <w:multiLevelType w:val="multilevel"/>
    <w:tmpl w:val="5C2C8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4F21C2"/>
    <w:multiLevelType w:val="multilevel"/>
    <w:tmpl w:val="6ACEC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BA663D"/>
    <w:multiLevelType w:val="multilevel"/>
    <w:tmpl w:val="0FD81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8C2889"/>
    <w:multiLevelType w:val="multilevel"/>
    <w:tmpl w:val="B64E4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F158D2"/>
    <w:multiLevelType w:val="multilevel"/>
    <w:tmpl w:val="8006C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E873C0"/>
    <w:multiLevelType w:val="multilevel"/>
    <w:tmpl w:val="D93ED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1E39E0"/>
    <w:multiLevelType w:val="multilevel"/>
    <w:tmpl w:val="305EE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502903"/>
    <w:multiLevelType w:val="multilevel"/>
    <w:tmpl w:val="3DC66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071FC0"/>
    <w:multiLevelType w:val="multilevel"/>
    <w:tmpl w:val="6B809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CB0081"/>
    <w:multiLevelType w:val="multilevel"/>
    <w:tmpl w:val="03B0B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4"/>
  </w:num>
  <w:num w:numId="3">
    <w:abstractNumId w:val="11"/>
  </w:num>
  <w:num w:numId="4">
    <w:abstractNumId w:val="2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13"/>
  </w:num>
  <w:num w:numId="10">
    <w:abstractNumId w:val="10"/>
  </w:num>
  <w:num w:numId="11">
    <w:abstractNumId w:val="15"/>
  </w:num>
  <w:num w:numId="12">
    <w:abstractNumId w:val="12"/>
  </w:num>
  <w:num w:numId="13">
    <w:abstractNumId w:val="4"/>
  </w:num>
  <w:num w:numId="14">
    <w:abstractNumId w:val="1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242"/>
    <w:rsid w:val="00091C28"/>
    <w:rsid w:val="001D6242"/>
    <w:rsid w:val="003244AC"/>
    <w:rsid w:val="005D0FEF"/>
    <w:rsid w:val="008C775C"/>
    <w:rsid w:val="00A71522"/>
    <w:rsid w:val="00BF259E"/>
    <w:rsid w:val="00C6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F2AF18-1E1E-403D-AD3E-38C5E49EB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1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2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3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6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1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93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989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3938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045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77D4A-41FC-4049-8724-F8322255D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Дархан Абдрахманов</dc:creator>
  <cp:keywords/>
  <dc:description/>
  <cp:lastModifiedBy>Дархан Абдрахманов</cp:lastModifiedBy>
  <cp:revision>2</cp:revision>
  <dcterms:created xsi:type="dcterms:W3CDTF">2026-09-15T04:42:00Z</dcterms:created>
  <dcterms:modified xsi:type="dcterms:W3CDTF">2026-09-15T04:42:00Z</dcterms:modified>
</cp:coreProperties>
</file>