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051246">
      <w:pPr>
        <w:tabs>
          <w:tab w:val="left" w:pos="3420"/>
        </w:tabs>
        <w:spacing w:after="0" w:line="240" w:lineRule="auto"/>
        <w:ind w:firstLine="426"/>
        <w:rPr>
          <w:rFonts w:ascii="Times New Roman" w:hAnsi="Times New Roman" w:cs="Times New Roman"/>
          <w:b/>
          <w:color w:val="FF0000"/>
          <w:lang w:val="kk-KZ"/>
        </w:rPr>
      </w:pPr>
      <w:bookmarkStart w:id="0" w:name="_GoBack"/>
      <w:bookmarkEnd w:id="0"/>
      <w:r>
        <w:rPr>
          <w:rFonts w:ascii="Times New Roman" w:hAnsi="Times New Roman" w:cs="Times New Roman"/>
          <w:b/>
          <w:color w:val="FF0000"/>
        </w:rPr>
        <w:t xml:space="preserve">ӘЛЕУЕТТІ </w:t>
      </w:r>
      <w:r>
        <w:rPr>
          <w:rFonts w:ascii="Times New Roman" w:hAnsi="Times New Roman" w:cs="Times New Roman"/>
          <w:b/>
          <w:color w:val="FF0000"/>
          <w:lang w:val="kk-KZ"/>
        </w:rPr>
        <w:t>ҚЫЗМЕТ КӨРСЕТ</w:t>
      </w:r>
      <w:r>
        <w:rPr>
          <w:rFonts w:ascii="Times New Roman" w:hAnsi="Times New Roman" w:cs="Times New Roman"/>
          <w:b/>
          <w:color w:val="FF0000"/>
        </w:rPr>
        <w:t>УШІНІҢ НАЗАРЫНА!</w:t>
      </w:r>
    </w:p>
    <w:p w14:paraId="0E7D23BC">
      <w:pPr>
        <w:tabs>
          <w:tab w:val="left" w:pos="3420"/>
        </w:tabs>
        <w:spacing w:after="0" w:line="240" w:lineRule="auto"/>
        <w:ind w:firstLine="426"/>
        <w:rPr>
          <w:rFonts w:ascii="Times New Roman" w:hAnsi="Times New Roman" w:cs="Times New Roman"/>
          <w:b/>
          <w:color w:val="FF0000"/>
          <w:lang w:val="kk-KZ"/>
        </w:rPr>
      </w:pPr>
      <w:r>
        <w:rPr>
          <w:rFonts w:ascii="Times New Roman" w:hAnsi="Times New Roman" w:cs="Times New Roman"/>
          <w:b/>
          <w:color w:val="FF0000"/>
        </w:rPr>
        <w:t>ТЕХНИКАЛЫҚ ЕРЕКШЕЛІКТІ МҰҚИЯТ ОҚУЫҢЫЗДЫ СҰРАЙМЫЗ</w:t>
      </w:r>
    </w:p>
    <w:p w14:paraId="2C95F120">
      <w:pPr>
        <w:tabs>
          <w:tab w:val="left" w:pos="3420"/>
        </w:tabs>
        <w:spacing w:after="0" w:line="240" w:lineRule="auto"/>
        <w:ind w:firstLine="426"/>
        <w:jc w:val="right"/>
        <w:rPr>
          <w:rFonts w:ascii="Times New Roman" w:hAnsi="Times New Roman" w:cs="Times New Roman"/>
          <w:b/>
          <w:bCs/>
          <w:lang w:val="kk-KZ"/>
        </w:rPr>
      </w:pPr>
      <w:r>
        <w:rPr>
          <w:rFonts w:ascii="Times New Roman" w:hAnsi="Times New Roman" w:cs="Times New Roman"/>
          <w:b/>
          <w:bCs/>
          <w:lang w:val="kk-KZ"/>
        </w:rPr>
        <w:t>2-қосымша</w:t>
      </w:r>
    </w:p>
    <w:p w14:paraId="0F50164B">
      <w:pPr>
        <w:tabs>
          <w:tab w:val="left" w:pos="3420"/>
        </w:tabs>
        <w:spacing w:after="0" w:line="240" w:lineRule="auto"/>
        <w:ind w:firstLine="426"/>
        <w:jc w:val="right"/>
        <w:rPr>
          <w:rFonts w:ascii="Times New Roman" w:hAnsi="Times New Roman" w:cs="Times New Roman"/>
          <w:b/>
          <w:bCs/>
          <w:lang w:val="kk-KZ"/>
        </w:rPr>
      </w:pPr>
    </w:p>
    <w:p w14:paraId="0FCCFCA5">
      <w:pPr>
        <w:spacing w:after="0" w:line="240" w:lineRule="auto"/>
        <w:ind w:firstLine="426"/>
        <w:jc w:val="center"/>
        <w:rPr>
          <w:rFonts w:ascii="Times New Roman" w:hAnsi="Times New Roman" w:cs="Times New Roman"/>
          <w:b/>
          <w:bCs/>
          <w:lang w:val="kk-KZ"/>
        </w:rPr>
      </w:pPr>
      <w:r>
        <w:rPr>
          <w:rFonts w:ascii="Times New Roman" w:hAnsi="Times New Roman" w:cs="Times New Roman"/>
          <w:b/>
          <w:bCs/>
        </w:rPr>
        <w:t>Семинар өткізу бойынша қызметтер көрсетудің</w:t>
      </w:r>
    </w:p>
    <w:p w14:paraId="2E1B025A">
      <w:pPr>
        <w:spacing w:after="0" w:line="240" w:lineRule="auto"/>
        <w:ind w:firstLine="426"/>
        <w:jc w:val="center"/>
        <w:rPr>
          <w:rFonts w:ascii="Times New Roman" w:hAnsi="Times New Roman" w:cs="Times New Roman"/>
          <w:b/>
          <w:bCs/>
          <w:lang w:val="kk-KZ"/>
        </w:rPr>
      </w:pPr>
      <w:r>
        <w:rPr>
          <w:rFonts w:ascii="Times New Roman" w:hAnsi="Times New Roman" w:cs="Times New Roman"/>
          <w:b/>
          <w:bCs/>
        </w:rPr>
        <w:t>техникалық ерекшелігі.</w:t>
      </w:r>
    </w:p>
    <w:p w14:paraId="65FC6547">
      <w:pPr>
        <w:spacing w:after="0" w:line="240" w:lineRule="auto"/>
        <w:ind w:firstLine="426"/>
        <w:jc w:val="center"/>
        <w:rPr>
          <w:rFonts w:ascii="Times New Roman" w:hAnsi="Times New Roman" w:cs="Times New Roman"/>
          <w:b/>
          <w:bCs/>
          <w:lang w:val="kk-KZ"/>
        </w:rPr>
      </w:pPr>
      <w:r>
        <w:rPr>
          <w:rFonts w:ascii="Times New Roman" w:hAnsi="Times New Roman" w:cs="Times New Roman"/>
          <w:b/>
          <w:bCs/>
          <w:lang w:val="kk-KZ"/>
        </w:rPr>
        <w:t>Осы Техникалық ерекшелікте қызметтерді көрсету бойынша негізгі талаптар келтірілген.</w:t>
      </w:r>
    </w:p>
    <w:p w14:paraId="7C7B0C1E">
      <w:pPr>
        <w:spacing w:after="0" w:line="240" w:lineRule="auto"/>
        <w:ind w:firstLine="426"/>
        <w:jc w:val="both"/>
        <w:rPr>
          <w:rFonts w:ascii="Times New Roman" w:hAnsi="Times New Roman" w:cs="Times New Roman"/>
          <w:b/>
          <w:bCs/>
          <w:lang w:val="kk-KZ"/>
        </w:rPr>
      </w:pPr>
    </w:p>
    <w:tbl>
      <w:tblPr>
        <w:tblStyle w:val="10"/>
        <w:tblW w:w="9776" w:type="dxa"/>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1754"/>
        <w:gridCol w:w="8022"/>
      </w:tblGrid>
      <w:tr w14:paraId="41FA1442">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57" w:hRule="atLeast"/>
        </w:trPr>
        <w:tc>
          <w:tcPr>
            <w:tcW w:w="1754" w:type="dxa"/>
            <w:tcBorders>
              <w:bottom w:val="single" w:color="666666" w:themeColor="text1" w:themeTint="99" w:sz="12" w:space="0"/>
              <w:insideH w:val="single" w:sz="12" w:space="0"/>
            </w:tcBorders>
          </w:tcPr>
          <w:p w14:paraId="1EC64E07">
            <w:pPr>
              <w:spacing w:after="0" w:line="240" w:lineRule="auto"/>
              <w:jc w:val="both"/>
              <w:rPr>
                <w:rFonts w:ascii="Times New Roman" w:hAnsi="Times New Roman" w:eastAsia="Times New Roman" w:cs="Times New Roman"/>
                <w:b w:val="0"/>
                <w:bCs/>
                <w:lang w:val="kk-KZ" w:eastAsia="ru-RU"/>
              </w:rPr>
            </w:pPr>
            <w:r>
              <w:rPr>
                <w:rFonts w:ascii="Times New Roman" w:hAnsi="Times New Roman" w:eastAsia="Times New Roman" w:cs="Times New Roman"/>
                <w:b w:val="0"/>
                <w:bCs/>
                <w:lang w:val="kk-KZ" w:eastAsia="ru-RU"/>
              </w:rPr>
              <w:t>Семинардын атауы</w:t>
            </w:r>
          </w:p>
        </w:tc>
        <w:tc>
          <w:tcPr>
            <w:tcW w:w="8022" w:type="dxa"/>
            <w:tcBorders>
              <w:bottom w:val="single" w:color="666666" w:themeColor="text1" w:themeTint="99" w:sz="12" w:space="0"/>
              <w:insideH w:val="single" w:sz="12" w:space="0"/>
            </w:tcBorders>
          </w:tcPr>
          <w:p w14:paraId="38AC3856">
            <w:pPr>
              <w:spacing w:after="0" w:line="240" w:lineRule="auto"/>
              <w:ind w:right="90"/>
              <w:jc w:val="both"/>
              <w:rPr>
                <w:rFonts w:ascii="Times New Roman" w:hAnsi="Times New Roman" w:eastAsia="Times New Roman" w:cs="Times New Roman"/>
                <w:b/>
                <w:bCs/>
                <w:lang w:val="kk-KZ" w:eastAsia="ru-RU"/>
              </w:rPr>
            </w:pPr>
            <w:r>
              <w:rPr>
                <w:rFonts w:ascii="Times New Roman" w:hAnsi="Times New Roman" w:cs="Times New Roman"/>
                <w:b/>
                <w:bCs/>
                <w:iCs/>
                <w:lang w:val="kk-KZ"/>
              </w:rPr>
              <w:t>Республикалық бюджеттік бағдарламалар әкімшілерінің және бюджетті орындау жөніндегі жергілікті уәкілетті органдардың бухгалтерлік есепті жүргізуге әрі қаржылық есептілікті жасауға уәкілетті лауазымды тұлғаларын сертификаттау</w:t>
            </w:r>
          </w:p>
        </w:tc>
      </w:tr>
      <w:tr w14:paraId="74CEECF3">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549" w:hRule="atLeast"/>
        </w:trPr>
        <w:tc>
          <w:tcPr>
            <w:tcW w:w="1754" w:type="dxa"/>
          </w:tcPr>
          <w:p w14:paraId="31E7F9B9">
            <w:pPr>
              <w:spacing w:after="0" w:line="240" w:lineRule="auto"/>
              <w:jc w:val="both"/>
              <w:rPr>
                <w:rFonts w:ascii="Times New Roman" w:hAnsi="Times New Roman" w:eastAsia="Times New Roman" w:cs="Times New Roman"/>
                <w:b w:val="0"/>
                <w:bCs/>
                <w:lang w:eastAsia="ru-RU"/>
              </w:rPr>
            </w:pPr>
            <w:r>
              <w:rPr>
                <w:rFonts w:ascii="Times New Roman" w:hAnsi="Times New Roman" w:eastAsia="Times New Roman" w:cs="Times New Roman"/>
                <w:b w:val="0"/>
                <w:bCs/>
                <w:lang w:eastAsia="ru-RU"/>
              </w:rPr>
              <w:t>Семинар бағдарламасы:</w:t>
            </w:r>
          </w:p>
        </w:tc>
        <w:tc>
          <w:tcPr>
            <w:tcW w:w="8022" w:type="dxa"/>
          </w:tcPr>
          <w:p w14:paraId="4ED616BA">
            <w:pPr>
              <w:numPr>
                <w:ilvl w:val="0"/>
                <w:numId w:val="1"/>
              </w:numPr>
              <w:tabs>
                <w:tab w:val="left" w:pos="280"/>
                <w:tab w:val="left" w:pos="567"/>
              </w:tabs>
              <w:spacing w:after="0" w:line="240" w:lineRule="auto"/>
              <w:ind w:left="0" w:firstLine="0"/>
              <w:jc w:val="both"/>
              <w:rPr>
                <w:rFonts w:ascii="Times New Roman" w:hAnsi="Times New Roman" w:cs="Times New Roman"/>
                <w:lang w:val="kk-KZ"/>
              </w:rPr>
            </w:pPr>
            <w:r>
              <w:rPr>
                <w:rFonts w:ascii="Times New Roman" w:hAnsi="Times New Roman" w:cs="Times New Roman"/>
                <w:lang w:val="kk-KZ"/>
              </w:rPr>
              <w:t>Оқыту мен емтихандарды 2026 жылғы қараша айының соңына дейін өткізу қажет.</w:t>
            </w:r>
          </w:p>
          <w:p w14:paraId="2F309627">
            <w:pPr>
              <w:numPr>
                <w:ilvl w:val="0"/>
                <w:numId w:val="1"/>
              </w:numPr>
              <w:tabs>
                <w:tab w:val="left" w:pos="280"/>
                <w:tab w:val="left" w:pos="567"/>
              </w:tabs>
              <w:spacing w:after="0" w:line="240" w:lineRule="auto"/>
              <w:ind w:left="0" w:firstLine="0"/>
              <w:jc w:val="both"/>
              <w:rPr>
                <w:rFonts w:ascii="Times New Roman" w:hAnsi="Times New Roman" w:cs="Times New Roman"/>
                <w:lang w:val="kk-KZ"/>
              </w:rPr>
            </w:pPr>
            <w:r>
              <w:rPr>
                <w:rFonts w:ascii="Times New Roman" w:hAnsi="Times New Roman" w:cs="Times New Roman"/>
                <w:lang w:val="kk-KZ"/>
              </w:rPr>
              <w:t>Білім беру бағдарламасының мақсаты мен ұзақтығы: «Қоғамдық сектор үшін қаржылық есептіліктің халықаралық стандарттарына (ҚСҚЕХС) сәйкес мемлекеттік мекемелерде бухгалтерлік есепті жүргізу және қаржылық есептілікті жасау» пәні бойынша және жаңадан қабылданған нормативтік құқықтық актілерге сәйкес мемлекеттік мекемелерде қаржылық есептілікті жүргізу мен жасаудағы түсіндірмелермен әрі өзгерістермен ХҚЕС-ке сәйкес квазимемлекеттік секторда бухгалтерлік есепті жүргізу және қаржылық есептілікті жасау. Оқыту ұзақтығы практикалық сабақтар мен өзіндік жұмысты қосқанда 80 академиялық сағатты құрауы тиіс. Бұл ретте 1 академиялық сағат 40 минутқа тең.</w:t>
            </w:r>
          </w:p>
          <w:p w14:paraId="161D09F4">
            <w:pPr>
              <w:tabs>
                <w:tab w:val="left" w:pos="280"/>
              </w:tabs>
              <w:spacing w:after="0" w:line="240" w:lineRule="auto"/>
              <w:outlineLvl w:val="2"/>
              <w:rPr>
                <w:rFonts w:ascii="Times New Roman" w:hAnsi="Times New Roman" w:eastAsia="Times New Roman" w:cs="Times New Roman"/>
                <w:b/>
                <w:bCs/>
                <w:sz w:val="27"/>
                <w:szCs w:val="27"/>
                <w:lang w:eastAsia="ru-RU"/>
              </w:rPr>
            </w:pPr>
            <w:r>
              <w:rPr>
                <w:rFonts w:ascii="Times New Roman" w:hAnsi="Times New Roman" w:eastAsia="Times New Roman" w:cs="Times New Roman"/>
                <w:b/>
                <w:bCs/>
                <w:sz w:val="27"/>
                <w:szCs w:val="27"/>
                <w:lang w:eastAsia="ru-RU"/>
              </w:rPr>
              <w:t>3. Потенциалды қызмет көрсетушіге қойылатын талаптар:</w:t>
            </w:r>
          </w:p>
          <w:p w14:paraId="73139F84">
            <w:pPr>
              <w:tabs>
                <w:tab w:val="left" w:pos="28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ru-RU"/>
              </w:rPr>
              <w:t>3.1.</w:t>
            </w:r>
            <w:r>
              <w:rPr>
                <w:rFonts w:ascii="Times New Roman" w:hAnsi="Times New Roman" w:eastAsia="Times New Roman" w:cs="Times New Roman"/>
                <w:sz w:val="24"/>
                <w:szCs w:val="24"/>
                <w:lang w:eastAsia="ru-RU"/>
              </w:rPr>
              <w:t xml:space="preserve"> Қазақстан Республикасы Қаржы министрлігінің (ҚР ҚМ) сертификаттау жөніндегі ұйым ретіндегі аккредиттеу куәлігінің болуы;</w:t>
            </w:r>
          </w:p>
          <w:p w14:paraId="52DB8EE7">
            <w:pPr>
              <w:tabs>
                <w:tab w:val="left" w:pos="28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ru-RU"/>
              </w:rPr>
              <w:t>3.2.</w:t>
            </w:r>
            <w:r>
              <w:rPr>
                <w:rFonts w:ascii="Times New Roman" w:hAnsi="Times New Roman" w:eastAsia="Times New Roman" w:cs="Times New Roman"/>
                <w:sz w:val="24"/>
                <w:szCs w:val="24"/>
                <w:lang w:eastAsia="ru-RU"/>
              </w:rPr>
              <w:t xml:space="preserve"> «Мемлекеттік қызметшілерді даярлау, қайта даярлау және олардың біліктілігін арттыру қағидаларын, мемлекеттік қызметшілердің біліктілігін арттыруды жүзеге асыратын білім беру ұйымдарына қойылатын талаптарды бекіту туралы» (ҚР Үкіметінің 2018 жылғы 15 наурыздағы № 125 қаулысы) сәйкестігі туралы Үйлестіру кеңесі хаттамасының болуы (бұл мемлекеттік қызмет істері жөніндегі уәкілетті органның Үйлестіру кеңесінің шешімімен мемлекеттік қызметшілердің біліктілігін арттыру қызметтерін ұсынуға құқығы бар білім беру ұйымдарының тізбесіне енгізілумен расталады);</w:t>
            </w:r>
          </w:p>
          <w:p w14:paraId="4C0608D0">
            <w:pPr>
              <w:tabs>
                <w:tab w:val="left" w:pos="28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ru-RU"/>
              </w:rPr>
              <w:t>3.3.</w:t>
            </w:r>
            <w:r>
              <w:rPr>
                <w:rFonts w:ascii="Times New Roman" w:hAnsi="Times New Roman" w:eastAsia="Times New Roman" w:cs="Times New Roman"/>
                <w:sz w:val="24"/>
                <w:szCs w:val="24"/>
                <w:lang w:eastAsia="ru-RU"/>
              </w:rPr>
              <w:t xml:space="preserve"> Республикалық бюджеттік бағдарламалар әкімшілерінің және бюджетті орындау жөніндегі жергілікті уәкілетті органдардың бухгалтерлік есепті жүргізуге әрі қаржылық есептілікті жасауға уәкілетті лауазымды тұлғаларын сертификаттау жөніндегі емтихандық модульдердің ҚР Қаржы министрлігінің ресми сайтында 2026 жылғы 22 маусымдағы жағдай бойынша жарияланған бағдарламаға сәйкес әзірленгені туралы ҚР ҚМ келісу хатының болуы;</w:t>
            </w:r>
          </w:p>
          <w:p w14:paraId="1E8CE5B0">
            <w:pPr>
              <w:tabs>
                <w:tab w:val="left" w:pos="28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ru-RU"/>
              </w:rPr>
              <w:t>3.4.</w:t>
            </w:r>
            <w:r>
              <w:rPr>
                <w:rFonts w:ascii="Times New Roman" w:hAnsi="Times New Roman" w:eastAsia="Times New Roman" w:cs="Times New Roman"/>
                <w:sz w:val="24"/>
                <w:szCs w:val="24"/>
                <w:lang w:eastAsia="ru-RU"/>
              </w:rPr>
              <w:t xml:space="preserve"> ҚР Қаржы министрлігінің ресми сайтында 2026 жылғы 22 маусымдағы жағдай бойынша жарияланған бағдарлама ескеріле отырып әзірленген, бекітілген оқу бағдарламаларының болуы;</w:t>
            </w:r>
          </w:p>
          <w:p w14:paraId="1E54476A">
            <w:pPr>
              <w:tabs>
                <w:tab w:val="left" w:pos="28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ru-RU"/>
              </w:rPr>
              <w:t>3.5.</w:t>
            </w:r>
            <w:r>
              <w:rPr>
                <w:rFonts w:ascii="Times New Roman" w:hAnsi="Times New Roman" w:eastAsia="Times New Roman" w:cs="Times New Roman"/>
                <w:sz w:val="24"/>
                <w:szCs w:val="24"/>
                <w:lang w:eastAsia="ru-RU"/>
              </w:rPr>
              <w:t xml:space="preserve"> Сынақ емтиханын тапсыру мүмкіндігі бар меншікті қашықтықтан оқыту жүйесінің болуы;</w:t>
            </w:r>
          </w:p>
          <w:p w14:paraId="22446302">
            <w:pPr>
              <w:tabs>
                <w:tab w:val="left" w:pos="28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ru-RU"/>
              </w:rPr>
              <w:t>3.6.</w:t>
            </w:r>
            <w:r>
              <w:rPr>
                <w:rFonts w:ascii="Times New Roman" w:hAnsi="Times New Roman" w:eastAsia="Times New Roman" w:cs="Times New Roman"/>
                <w:sz w:val="24"/>
                <w:szCs w:val="24"/>
                <w:lang w:eastAsia="ru-RU"/>
              </w:rPr>
              <w:t xml:space="preserve"> Дәріскерде «Қоғамдық сектор үшін халықаралық қаржылық есептіліктің стандарттарына (ҚС</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 xml:space="preserve">ХҚЕС) сәйкес мемлекеттік мекемелерде бухгалтерлік есепті жүргізу және қаржылық есептілікті жасау» модуліне авторлық құқықтың және келесі сертификаттардың болуы: </w:t>
            </w:r>
            <w:r>
              <w:rPr>
                <w:rFonts w:ascii="Times New Roman" w:hAnsi="Times New Roman" w:eastAsia="Times New Roman" w:cs="Times New Roman"/>
                <w:b/>
                <w:bCs/>
                <w:sz w:val="24"/>
                <w:szCs w:val="24"/>
                <w:lang w:eastAsia="ru-RU"/>
              </w:rPr>
              <w:t>ҚР Кәсіби бухгалтері</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
                <w:bCs/>
                <w:sz w:val="24"/>
                <w:szCs w:val="24"/>
                <w:lang w:eastAsia="ru-RU"/>
              </w:rPr>
              <w:t>CIMA</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i/>
                <w:iCs/>
                <w:sz w:val="24"/>
                <w:szCs w:val="24"/>
                <w:lang w:eastAsia="ru-RU"/>
              </w:rPr>
              <w:t>(орыс тілінде бизнесті басқару тиімділігі)</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
                <w:bCs/>
                <w:sz w:val="24"/>
                <w:szCs w:val="24"/>
                <w:lang w:eastAsia="ru-RU"/>
              </w:rPr>
              <w:t>CAP</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
                <w:bCs/>
                <w:sz w:val="24"/>
                <w:szCs w:val="24"/>
                <w:lang w:eastAsia="ru-RU"/>
              </w:rPr>
              <w:t>Халықаралық қаржылық есептілік жөніндегі диплом</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i/>
                <w:iCs/>
                <w:sz w:val="24"/>
                <w:szCs w:val="24"/>
                <w:lang w:eastAsia="ru-RU"/>
              </w:rPr>
              <w:t>(орыс тілінде ДипИФР)</w:t>
            </w:r>
            <w:r>
              <w:rPr>
                <w:rFonts w:ascii="Times New Roman" w:hAnsi="Times New Roman" w:eastAsia="Times New Roman" w:cs="Times New Roman"/>
                <w:sz w:val="24"/>
                <w:szCs w:val="24"/>
                <w:lang w:eastAsia="ru-RU"/>
              </w:rPr>
              <w:t>.</w:t>
            </w:r>
          </w:p>
          <w:p w14:paraId="6226FE4A">
            <w:pPr>
              <w:tabs>
                <w:tab w:val="left" w:pos="280"/>
                <w:tab w:val="left" w:pos="567"/>
              </w:tabs>
              <w:spacing w:after="0" w:line="240" w:lineRule="auto"/>
              <w:jc w:val="both"/>
              <w:rPr>
                <w:rFonts w:ascii="Times New Roman" w:hAnsi="Times New Roman" w:cs="Times New Roman"/>
              </w:rPr>
            </w:pPr>
          </w:p>
          <w:p w14:paraId="5547FC1E">
            <w:pPr>
              <w:numPr>
                <w:ilvl w:val="0"/>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cs="Times New Roman"/>
                <w:b/>
                <w:bCs/>
              </w:rPr>
              <w:t>Оқу материалына қойылатын талаптар:</w:t>
            </w:r>
            <w:r>
              <w:rPr>
                <w:rFonts w:ascii="Times New Roman" w:hAnsi="Times New Roman" w:cs="Times New Roman"/>
              </w:rPr>
              <w:t xml:space="preserve"> Өнім беруші оқыту басталғанға дейін тыңдаушыларға оқу-әдістемелік кешенді (жаттықтырушы тест базасын, жаттықтырушы ситуациялық тапсырмаларды және теориялық материалды) және мемлекеттік мекемелерге арналған нормативтік-құқықтық базаны ұсынады.</w:t>
            </w:r>
          </w:p>
          <w:p w14:paraId="459FFE96">
            <w:pPr>
              <w:numPr>
                <w:ilvl w:val="1"/>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cs="Times New Roman"/>
                <w:b/>
                <w:bCs/>
              </w:rPr>
              <w:t>Семинар бағдарламасы:</w:t>
            </w:r>
          </w:p>
          <w:p w14:paraId="25F6ABB7">
            <w:pPr>
              <w:numPr>
                <w:ilvl w:val="2"/>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cs="Times New Roman"/>
              </w:rPr>
              <w:t>Семинар көрнекі мысалдармен өткізілуі тиіс.</w:t>
            </w:r>
          </w:p>
          <w:p w14:paraId="0326628D">
            <w:pPr>
              <w:numPr>
                <w:ilvl w:val="2"/>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cs="Times New Roman"/>
              </w:rPr>
              <w:t>Оқу бағдарламасының жалпы сағат санының кемінде 50%-ын практиканы үйрену құрауы тиіс.</w:t>
            </w:r>
          </w:p>
          <w:p w14:paraId="729F713E">
            <w:pPr>
              <w:numPr>
                <w:ilvl w:val="1"/>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cs="Times New Roman"/>
                <w:b/>
                <w:bCs/>
              </w:rPr>
              <w:t>Семинар тақырыптары:</w:t>
            </w:r>
          </w:p>
          <w:p w14:paraId="69C8564D">
            <w:pPr>
              <w:numPr>
                <w:ilvl w:val="2"/>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cs="Times New Roman"/>
              </w:rPr>
              <w:t>ҚР ҚМ 29.04.2025 ж. № 210 бұйрығына сәйкес кандидаттар мына пәндер бойынша білім алып, емтихан тапсырады:</w:t>
            </w:r>
          </w:p>
          <w:p w14:paraId="45A3C5C7">
            <w:pPr>
              <w:numPr>
                <w:ilvl w:val="3"/>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eastAsia="Times New Roman" w:cs="Times New Roman"/>
                <w:sz w:val="24"/>
                <w:szCs w:val="24"/>
                <w:lang w:eastAsia="ru-RU"/>
              </w:rPr>
              <w:t>Қоғамдық сектор үшін халықаралық қаржылық есептіліктің стандарттарына (ҚС</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ХҚЕС) сәйкес мемлекеттік мекемелерде бухгалтерлік есепті жүргізу және қаржылық есептілікті жасау</w:t>
            </w:r>
            <w:r>
              <w:rPr>
                <w:rFonts w:ascii="Times New Roman" w:hAnsi="Times New Roman" w:cs="Times New Roman"/>
              </w:rPr>
              <w:t>;</w:t>
            </w:r>
          </w:p>
          <w:p w14:paraId="36E73C29">
            <w:pPr>
              <w:numPr>
                <w:ilvl w:val="3"/>
                <w:numId w:val="1"/>
              </w:numPr>
              <w:tabs>
                <w:tab w:val="left" w:pos="280"/>
                <w:tab w:val="left" w:pos="567"/>
              </w:tabs>
              <w:spacing w:after="0" w:line="240" w:lineRule="auto"/>
              <w:ind w:left="0" w:firstLine="0"/>
              <w:jc w:val="both"/>
              <w:rPr>
                <w:rFonts w:ascii="Times New Roman" w:hAnsi="Times New Roman" w:cs="Times New Roman"/>
              </w:rPr>
            </w:pPr>
            <w:r>
              <w:rPr>
                <w:rFonts w:ascii="Times New Roman" w:hAnsi="Times New Roman" w:cs="Times New Roman"/>
              </w:rPr>
              <w:t>Халықаралық қаржылық есептілік стандарттарына сәйкес квазимемлекеттік секторда бухгалтерлік есепті жүргізу және қаржылық есептілікті жасау</w:t>
            </w:r>
          </w:p>
          <w:p w14:paraId="5FFBB4B4">
            <w:pPr>
              <w:tabs>
                <w:tab w:val="left" w:pos="280"/>
                <w:tab w:val="left" w:pos="567"/>
              </w:tabs>
              <w:spacing w:after="0" w:line="240" w:lineRule="auto"/>
              <w:jc w:val="both"/>
              <w:rPr>
                <w:lang w:val="kk-KZ"/>
              </w:rPr>
            </w:pPr>
            <w:r>
              <w:rPr>
                <w:rFonts w:ascii="Times New Roman" w:hAnsi="Times New Roman" w:cs="Times New Roman"/>
              </w:rPr>
              <w:t>Өнім беруші тыңдаушы 2 емтиханды сәтті тапсырған жағдайда оған Бюджеттік бағдарламалар әкімшілерінің және республикалық бюджетті, астананың, облыстың, республикалық маңызы бар қаланың бюджетін, аудандық (облыстық маңызы бар қаланың) бюджетті атқару жөніндегі уәкілетті органдардың бухгалтерлік есепті жүргізуге және қаржылық есептілікті жасауға уәкілеттік берілген лауазымды адамдардың оқығаны және емтиханнан өткені туралы сертификатын беруге міндетті.</w:t>
            </w:r>
          </w:p>
          <w:p w14:paraId="6DC334D6">
            <w:pPr>
              <w:tabs>
                <w:tab w:val="left" w:pos="567"/>
              </w:tabs>
              <w:spacing w:after="0"/>
              <w:ind w:right="-1" w:firstLine="567"/>
              <w:jc w:val="both"/>
              <w:rPr>
                <w:rFonts w:ascii="Times New Roman" w:hAnsi="Times New Roman" w:cs="Times New Roman"/>
                <w:lang w:val="kk-KZ"/>
              </w:rPr>
            </w:pPr>
          </w:p>
        </w:tc>
      </w:tr>
      <w:tr w14:paraId="3F56CAC2">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07" w:hRule="atLeast"/>
        </w:trPr>
        <w:tc>
          <w:tcPr>
            <w:tcW w:w="1754" w:type="dxa"/>
          </w:tcPr>
          <w:p w14:paraId="4165262E">
            <w:pPr>
              <w:spacing w:after="0" w:line="240" w:lineRule="auto"/>
              <w:jc w:val="both"/>
              <w:rPr>
                <w:rFonts w:ascii="Times New Roman" w:hAnsi="Times New Roman" w:eastAsia="Times New Roman" w:cs="Times New Roman"/>
                <w:b w:val="0"/>
                <w:bCs/>
                <w:lang w:eastAsia="ru-RU"/>
              </w:rPr>
            </w:pPr>
            <w:r>
              <w:rPr>
                <w:rFonts w:ascii="Times New Roman" w:hAnsi="Times New Roman" w:eastAsia="Times New Roman" w:cs="Times New Roman"/>
                <w:b w:val="0"/>
                <w:bCs/>
                <w:lang w:val="kk-KZ" w:eastAsia="ru-RU"/>
              </w:rPr>
              <w:t xml:space="preserve">Оқуды </w:t>
            </w:r>
            <w:r>
              <w:rPr>
                <w:rFonts w:ascii="Times New Roman" w:hAnsi="Times New Roman" w:eastAsia="Times New Roman" w:cs="Times New Roman"/>
                <w:b w:val="0"/>
                <w:bCs/>
                <w:lang w:eastAsia="ru-RU"/>
              </w:rPr>
              <w:t>өткізу форматы</w:t>
            </w:r>
          </w:p>
        </w:tc>
        <w:tc>
          <w:tcPr>
            <w:tcW w:w="8022" w:type="dxa"/>
          </w:tcPr>
          <w:p w14:paraId="60768EF2">
            <w:pPr>
              <w:spacing w:after="0" w:line="240" w:lineRule="auto"/>
              <w:jc w:val="both"/>
              <w:rPr>
                <w:rFonts w:ascii="Times New Roman" w:hAnsi="Times New Roman" w:eastAsia="Times New Roman" w:cs="Times New Roman"/>
                <w:bCs/>
                <w:lang w:eastAsia="ru-RU"/>
              </w:rPr>
            </w:pPr>
            <w:r>
              <w:rPr>
                <w:rFonts w:ascii="Times New Roman" w:hAnsi="Times New Roman" w:eastAsia="Times New Roman" w:cs="Times New Roman"/>
                <w:bCs/>
                <w:lang w:eastAsia="ru-RU"/>
              </w:rPr>
              <w:t>Офлайн</w:t>
            </w:r>
          </w:p>
        </w:tc>
      </w:tr>
      <w:tr w14:paraId="3CE3CA8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07" w:hRule="atLeast"/>
        </w:trPr>
        <w:tc>
          <w:tcPr>
            <w:tcW w:w="1754" w:type="dxa"/>
          </w:tcPr>
          <w:p w14:paraId="1366A7EC">
            <w:pPr>
              <w:spacing w:after="0" w:line="240" w:lineRule="auto"/>
              <w:jc w:val="both"/>
              <w:rPr>
                <w:rFonts w:ascii="Times New Roman" w:hAnsi="Times New Roman" w:eastAsia="Times New Roman" w:cs="Times New Roman"/>
                <w:b w:val="0"/>
                <w:bCs w:val="0"/>
                <w:lang w:val="kk-KZ" w:eastAsia="ru-RU"/>
              </w:rPr>
            </w:pPr>
            <w:r>
              <w:rPr>
                <w:rFonts w:ascii="Times New Roman" w:hAnsi="Times New Roman" w:eastAsia="Times New Roman" w:cs="Times New Roman"/>
                <w:b w:val="0"/>
                <w:bCs w:val="0"/>
                <w:lang w:val="kk-KZ" w:eastAsia="ru-RU"/>
              </w:rPr>
              <w:t>Қатысушылар саны</w:t>
            </w:r>
          </w:p>
        </w:tc>
        <w:tc>
          <w:tcPr>
            <w:tcW w:w="8022" w:type="dxa"/>
          </w:tcPr>
          <w:p w14:paraId="6444C26D">
            <w:pPr>
              <w:spacing w:after="0" w:line="240" w:lineRule="auto"/>
              <w:jc w:val="both"/>
              <w:rPr>
                <w:rFonts w:ascii="Times New Roman" w:hAnsi="Times New Roman" w:eastAsia="Times New Roman" w:cs="Times New Roman"/>
                <w:bCs/>
                <w:lang w:val="kk-KZ" w:eastAsia="ru-RU"/>
              </w:rPr>
            </w:pPr>
            <w:r>
              <w:rPr>
                <w:rFonts w:ascii="Times New Roman" w:hAnsi="Times New Roman" w:eastAsia="Times New Roman" w:cs="Times New Roman"/>
                <w:bCs/>
                <w:lang w:val="kk-KZ" w:eastAsia="ru-RU"/>
              </w:rPr>
              <w:t xml:space="preserve"> 2 адам</w:t>
            </w:r>
          </w:p>
        </w:tc>
      </w:tr>
      <w:tr w14:paraId="77E4B49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07" w:hRule="atLeast"/>
        </w:trPr>
        <w:tc>
          <w:tcPr>
            <w:tcW w:w="1754" w:type="dxa"/>
          </w:tcPr>
          <w:p w14:paraId="7FAD3D14">
            <w:pPr>
              <w:spacing w:after="0" w:line="240" w:lineRule="auto"/>
              <w:jc w:val="both"/>
              <w:rPr>
                <w:rFonts w:ascii="Times New Roman" w:hAnsi="Times New Roman" w:eastAsia="Times New Roman" w:cs="Times New Roman"/>
                <w:b w:val="0"/>
                <w:bCs w:val="0"/>
                <w:lang w:eastAsia="ru-RU"/>
              </w:rPr>
            </w:pPr>
            <w:r>
              <w:rPr>
                <w:rFonts w:ascii="Times New Roman" w:hAnsi="Times New Roman" w:cs="Times New Roman"/>
                <w:b w:val="0"/>
                <w:bCs w:val="0"/>
                <w:lang w:val="kk-KZ"/>
              </w:rPr>
              <w:t>о</w:t>
            </w:r>
            <w:r>
              <w:rPr>
                <w:rFonts w:ascii="Times New Roman" w:hAnsi="Times New Roman" w:cs="Times New Roman"/>
                <w:b w:val="0"/>
                <w:bCs w:val="0"/>
              </w:rPr>
              <w:t>қыту тілі</w:t>
            </w:r>
          </w:p>
        </w:tc>
        <w:tc>
          <w:tcPr>
            <w:tcW w:w="8022" w:type="dxa"/>
          </w:tcPr>
          <w:p w14:paraId="340D28D8">
            <w:pPr>
              <w:spacing w:after="0" w:line="240" w:lineRule="auto"/>
              <w:jc w:val="both"/>
              <w:rPr>
                <w:rFonts w:ascii="Times New Roman" w:hAnsi="Times New Roman" w:eastAsia="Times New Roman" w:cs="Times New Roman"/>
                <w:bCs/>
                <w:lang w:eastAsia="ru-RU"/>
              </w:rPr>
            </w:pPr>
            <w:r>
              <w:rPr>
                <w:rFonts w:ascii="Times New Roman" w:hAnsi="Times New Roman" w:cs="Times New Roman"/>
              </w:rPr>
              <w:t>Орыс және қазақ тілдері</w:t>
            </w:r>
          </w:p>
        </w:tc>
      </w:tr>
      <w:tr w14:paraId="16849541">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15" w:hRule="atLeast"/>
        </w:trPr>
        <w:tc>
          <w:tcPr>
            <w:tcW w:w="1754" w:type="dxa"/>
          </w:tcPr>
          <w:p w14:paraId="1BF1FC8C">
            <w:pPr>
              <w:spacing w:after="0" w:line="240" w:lineRule="auto"/>
              <w:jc w:val="both"/>
              <w:rPr>
                <w:rFonts w:ascii="Times New Roman" w:hAnsi="Times New Roman" w:eastAsia="Times New Roman" w:cs="Times New Roman"/>
                <w:b w:val="0"/>
                <w:bCs w:val="0"/>
                <w:lang w:eastAsia="ru-RU"/>
              </w:rPr>
            </w:pPr>
            <w:r>
              <w:rPr>
                <w:rFonts w:ascii="Times New Roman" w:hAnsi="Times New Roman" w:cs="Times New Roman"/>
                <w:b w:val="0"/>
                <w:bCs w:val="0"/>
              </w:rPr>
              <w:t>Семинардың ұзақтығы</w:t>
            </w:r>
          </w:p>
        </w:tc>
        <w:tc>
          <w:tcPr>
            <w:tcW w:w="8022" w:type="dxa"/>
          </w:tcPr>
          <w:p w14:paraId="2D72571C">
            <w:pPr>
              <w:spacing w:after="0" w:line="240" w:lineRule="auto"/>
              <w:jc w:val="both"/>
              <w:rPr>
                <w:rFonts w:ascii="Times New Roman" w:hAnsi="Times New Roman" w:eastAsia="Times New Roman" w:cs="Times New Roman"/>
                <w:bCs/>
                <w:lang w:eastAsia="ru-RU"/>
              </w:rPr>
            </w:pPr>
            <w:r>
              <w:rPr>
                <w:rFonts w:ascii="Times New Roman" w:hAnsi="Times New Roman" w:cs="Times New Roman"/>
              </w:rPr>
              <w:t>Әрқайсысы 80 академик сағаттан</w:t>
            </w:r>
          </w:p>
        </w:tc>
      </w:tr>
      <w:tr w14:paraId="2711969B">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07" w:hRule="atLeast"/>
        </w:trPr>
        <w:tc>
          <w:tcPr>
            <w:tcW w:w="1754" w:type="dxa"/>
          </w:tcPr>
          <w:p w14:paraId="775EAE69">
            <w:pPr>
              <w:spacing w:after="0" w:line="240" w:lineRule="auto"/>
              <w:jc w:val="both"/>
              <w:rPr>
                <w:rFonts w:ascii="Times New Roman" w:hAnsi="Times New Roman" w:eastAsia="Times New Roman" w:cs="Times New Roman"/>
                <w:b w:val="0"/>
                <w:bCs/>
                <w:lang w:eastAsia="ru-RU"/>
              </w:rPr>
            </w:pPr>
            <w:r>
              <w:rPr>
                <w:rFonts w:ascii="Times New Roman" w:hAnsi="Times New Roman" w:eastAsia="Times New Roman" w:cs="Times New Roman"/>
                <w:b w:val="0"/>
                <w:bCs/>
                <w:lang w:eastAsia="ru-RU"/>
              </w:rPr>
              <w:t>өткізу орны</w:t>
            </w:r>
          </w:p>
        </w:tc>
        <w:tc>
          <w:tcPr>
            <w:tcW w:w="8022" w:type="dxa"/>
          </w:tcPr>
          <w:p w14:paraId="0655DD25">
            <w:pPr>
              <w:spacing w:after="0" w:line="240" w:lineRule="auto"/>
              <w:jc w:val="both"/>
              <w:rPr>
                <w:rFonts w:ascii="Times New Roman" w:hAnsi="Times New Roman" w:eastAsia="Times New Roman" w:cs="Times New Roman"/>
                <w:bCs/>
                <w:lang w:val="kk-KZ" w:eastAsia="ru-RU"/>
              </w:rPr>
            </w:pPr>
            <w:r>
              <w:rPr>
                <w:rFonts w:ascii="Times New Roman" w:hAnsi="Times New Roman" w:eastAsia="Times New Roman" w:cs="Times New Roman"/>
                <w:bCs/>
                <w:lang w:eastAsia="ru-RU"/>
              </w:rPr>
              <w:t>Өнім берушінің аумағында</w:t>
            </w:r>
          </w:p>
        </w:tc>
      </w:tr>
      <w:tr w14:paraId="5CD2E2E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07" w:hRule="atLeast"/>
        </w:trPr>
        <w:tc>
          <w:tcPr>
            <w:tcW w:w="1754" w:type="dxa"/>
          </w:tcPr>
          <w:p w14:paraId="68CB7AB1">
            <w:pPr>
              <w:spacing w:after="0" w:line="240" w:lineRule="auto"/>
              <w:jc w:val="both"/>
              <w:rPr>
                <w:rFonts w:ascii="Times New Roman" w:hAnsi="Times New Roman" w:eastAsia="Times New Roman" w:cs="Times New Roman"/>
                <w:b w:val="0"/>
                <w:bCs/>
                <w:lang w:eastAsia="ru-RU"/>
              </w:rPr>
            </w:pPr>
            <w:r>
              <w:rPr>
                <w:rFonts w:ascii="Times New Roman" w:hAnsi="Times New Roman" w:eastAsia="Times New Roman" w:cs="Times New Roman"/>
                <w:b w:val="0"/>
                <w:bCs/>
                <w:lang w:eastAsia="ru-RU"/>
              </w:rPr>
              <w:t>Қызмет көрсету мерзімі</w:t>
            </w:r>
          </w:p>
        </w:tc>
        <w:tc>
          <w:tcPr>
            <w:tcW w:w="8022" w:type="dxa"/>
          </w:tcPr>
          <w:p w14:paraId="612ED5F4">
            <w:pPr>
              <w:spacing w:after="0" w:line="240" w:lineRule="auto"/>
              <w:jc w:val="both"/>
              <w:rPr>
                <w:rFonts w:ascii="Times New Roman" w:hAnsi="Times New Roman" w:eastAsia="Times New Roman" w:cs="Times New Roman"/>
                <w:bCs/>
                <w:lang w:eastAsia="ru-RU"/>
              </w:rPr>
            </w:pPr>
            <w:r>
              <w:rPr>
                <w:rFonts w:ascii="Times New Roman" w:hAnsi="Times New Roman" w:eastAsia="Times New Roman" w:cs="Times New Roman"/>
                <w:bCs/>
                <w:lang w:eastAsia="ru-RU"/>
              </w:rPr>
              <w:t>Тапсырыс берушінің өтінімі бойынша 16 күнтізбелік күн ішінде</w:t>
            </w:r>
          </w:p>
        </w:tc>
      </w:tr>
      <w:tr w14:paraId="1690CB8C">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50" w:hRule="atLeast"/>
        </w:trPr>
        <w:tc>
          <w:tcPr>
            <w:tcW w:w="1754" w:type="dxa"/>
            <w:vAlign w:val="center"/>
          </w:tcPr>
          <w:p w14:paraId="2158B6E1">
            <w:pPr>
              <w:spacing w:after="0" w:line="240" w:lineRule="auto"/>
              <w:jc w:val="both"/>
              <w:rPr>
                <w:rFonts w:ascii="Times New Roman" w:hAnsi="Times New Roman" w:eastAsia="Times New Roman" w:cs="Times New Roman"/>
                <w:b w:val="0"/>
                <w:bCs/>
                <w:lang w:eastAsia="ru-RU"/>
              </w:rPr>
            </w:pPr>
            <w:r>
              <w:rPr>
                <w:rFonts w:ascii="Times New Roman" w:hAnsi="Times New Roman" w:eastAsia="Times New Roman" w:cs="Times New Roman"/>
                <w:b w:val="0"/>
                <w:bCs/>
                <w:lang w:val="kk-KZ" w:eastAsia="ru-RU"/>
              </w:rPr>
              <w:t>Қызмет көрсет</w:t>
            </w:r>
            <w:r>
              <w:rPr>
                <w:rFonts w:ascii="Times New Roman" w:hAnsi="Times New Roman" w:eastAsia="Times New Roman" w:cs="Times New Roman"/>
                <w:b w:val="0"/>
                <w:bCs/>
                <w:lang w:eastAsia="ru-RU"/>
              </w:rPr>
              <w:t>ушіге қойылатын талаптар</w:t>
            </w:r>
          </w:p>
        </w:tc>
        <w:tc>
          <w:tcPr>
            <w:tcW w:w="8022" w:type="dxa"/>
            <w:vAlign w:val="center"/>
          </w:tcPr>
          <w:p w14:paraId="636C9739">
            <w:pPr>
              <w:pStyle w:val="9"/>
              <w:numPr>
                <w:ilvl w:val="0"/>
                <w:numId w:val="2"/>
              </w:numPr>
              <w:rPr>
                <w:rFonts w:ascii="Times New Roman" w:hAnsi="Times New Roman" w:eastAsia="Times New Roman" w:cs="Times New Roman"/>
                <w:bCs/>
                <w:lang w:eastAsia="ru-RU"/>
              </w:rPr>
            </w:pPr>
            <w:r>
              <w:rPr>
                <w:rFonts w:ascii="Times New Roman" w:hAnsi="Times New Roman" w:eastAsia="Times New Roman" w:cs="Times New Roman"/>
                <w:bCs/>
                <w:lang w:val="kk-KZ" w:eastAsia="ru-RU"/>
              </w:rPr>
              <w:t>Қызмет көрсет</w:t>
            </w:r>
            <w:r>
              <w:rPr>
                <w:rFonts w:ascii="Times New Roman" w:hAnsi="Times New Roman" w:eastAsia="Times New Roman" w:cs="Times New Roman"/>
                <w:bCs/>
                <w:lang w:eastAsia="ru-RU"/>
              </w:rPr>
              <w:t>уші</w:t>
            </w:r>
            <w:r>
              <w:rPr>
                <w:rFonts w:ascii="Times New Roman" w:hAnsi="Times New Roman" w:eastAsia="Times New Roman" w:cs="Times New Roman"/>
                <w:lang w:val="kk-KZ" w:eastAsia="ru-RU"/>
              </w:rPr>
              <w:t xml:space="preserve"> </w:t>
            </w:r>
            <w:r>
              <w:rPr>
                <w:rFonts w:ascii="Times New Roman" w:hAnsi="Times New Roman" w:eastAsia="Times New Roman" w:cs="Times New Roman"/>
                <w:bCs/>
                <w:lang w:eastAsia="ru-RU"/>
              </w:rPr>
              <w:t>оқытуды орыс және қазақ тілдерінде өткізуі тиіс;;</w:t>
            </w:r>
          </w:p>
          <w:p w14:paraId="3F22B88A">
            <w:pPr>
              <w:pStyle w:val="9"/>
              <w:spacing w:after="0" w:line="240" w:lineRule="auto"/>
              <w:jc w:val="both"/>
              <w:rPr>
                <w:rFonts w:ascii="Times New Roman" w:hAnsi="Times New Roman" w:eastAsia="Times New Roman" w:cs="Times New Roman"/>
                <w:bCs/>
                <w:i/>
                <w:lang w:eastAsia="ru-RU"/>
              </w:rPr>
            </w:pPr>
          </w:p>
          <w:p w14:paraId="6AC1596E">
            <w:pPr>
              <w:pStyle w:val="9"/>
              <w:spacing w:after="0" w:line="240" w:lineRule="auto"/>
              <w:jc w:val="both"/>
              <w:rPr>
                <w:rFonts w:ascii="Times New Roman" w:hAnsi="Times New Roman" w:eastAsia="Times New Roman" w:cs="Times New Roman"/>
                <w:bCs/>
                <w:lang w:eastAsia="ru-RU"/>
              </w:rPr>
            </w:pPr>
            <w:r>
              <w:rPr>
                <w:rFonts w:ascii="Times New Roman" w:hAnsi="Times New Roman" w:eastAsia="Times New Roman" w:cs="Times New Roman"/>
                <w:bCs/>
                <w:i/>
                <w:lang w:eastAsia="ru-RU"/>
              </w:rPr>
              <w:t>Шартқа қол қойылғаннан кейін қызмет көрсетуші Мемлекеттік сатып алу веб-порталының «Растайтын құжаттар» бөлімі арқылы растайтын құжаттарды (СҚ хаттамасын, аккредиттеу туралы куәліктерді, ҚР ҚМ келісу хатын, ҚОЖ бар екенін растайтын құжаттарды, бекітілген оқу бағдарламаларын, авторлық құқық куәлігін, лектордың сертификаттары мен дипломдарын) тіркеуі тиіс.</w:t>
            </w:r>
          </w:p>
        </w:tc>
      </w:tr>
    </w:tbl>
    <w:p w14:paraId="1DA749C4">
      <w:pPr>
        <w:spacing w:after="0" w:line="20" w:lineRule="atLeast"/>
        <w:jc w:val="both"/>
        <w:rPr>
          <w:rFonts w:ascii="Times New Roman" w:hAnsi="Times New Roman" w:cs="Times New Roman"/>
        </w:rPr>
      </w:pPr>
    </w:p>
    <w:sectPr>
      <w:pgSz w:w="12240" w:h="15840"/>
      <w:pgMar w:top="284" w:right="850"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740C7E"/>
    <w:multiLevelType w:val="multilevel"/>
    <w:tmpl w:val="13740C7E"/>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A3852EB"/>
    <w:multiLevelType w:val="multilevel"/>
    <w:tmpl w:val="2A3852EB"/>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64"/>
    <w:rsid w:val="000400AA"/>
    <w:rsid w:val="000418B3"/>
    <w:rsid w:val="00054ADF"/>
    <w:rsid w:val="000676C1"/>
    <w:rsid w:val="00077777"/>
    <w:rsid w:val="0008715E"/>
    <w:rsid w:val="000B0E52"/>
    <w:rsid w:val="000E3CAB"/>
    <w:rsid w:val="000E540E"/>
    <w:rsid w:val="000F0739"/>
    <w:rsid w:val="001227BC"/>
    <w:rsid w:val="001430FD"/>
    <w:rsid w:val="00145B79"/>
    <w:rsid w:val="00197FB4"/>
    <w:rsid w:val="001C29B0"/>
    <w:rsid w:val="001C4143"/>
    <w:rsid w:val="001E0451"/>
    <w:rsid w:val="002168FC"/>
    <w:rsid w:val="0025666B"/>
    <w:rsid w:val="00265158"/>
    <w:rsid w:val="002D3B25"/>
    <w:rsid w:val="00312ABD"/>
    <w:rsid w:val="00312C2E"/>
    <w:rsid w:val="003611EA"/>
    <w:rsid w:val="0037568F"/>
    <w:rsid w:val="00390D57"/>
    <w:rsid w:val="003B70AD"/>
    <w:rsid w:val="003C5D92"/>
    <w:rsid w:val="003D5B47"/>
    <w:rsid w:val="003E5EAE"/>
    <w:rsid w:val="003F2591"/>
    <w:rsid w:val="003F5EF7"/>
    <w:rsid w:val="00427EBA"/>
    <w:rsid w:val="00434DC3"/>
    <w:rsid w:val="004A5DD8"/>
    <w:rsid w:val="004D4DCF"/>
    <w:rsid w:val="004E3163"/>
    <w:rsid w:val="004F4517"/>
    <w:rsid w:val="0052058D"/>
    <w:rsid w:val="00540DB1"/>
    <w:rsid w:val="00563AD0"/>
    <w:rsid w:val="00566DD8"/>
    <w:rsid w:val="00574308"/>
    <w:rsid w:val="00587B0B"/>
    <w:rsid w:val="0059307D"/>
    <w:rsid w:val="005E4B7C"/>
    <w:rsid w:val="005F32CD"/>
    <w:rsid w:val="00606AE0"/>
    <w:rsid w:val="00607CA9"/>
    <w:rsid w:val="00621B6F"/>
    <w:rsid w:val="006534D5"/>
    <w:rsid w:val="00664DF9"/>
    <w:rsid w:val="0069581C"/>
    <w:rsid w:val="006C3CA1"/>
    <w:rsid w:val="006D3E1A"/>
    <w:rsid w:val="006F391F"/>
    <w:rsid w:val="006F4D85"/>
    <w:rsid w:val="00700875"/>
    <w:rsid w:val="00723214"/>
    <w:rsid w:val="00752C49"/>
    <w:rsid w:val="007810DE"/>
    <w:rsid w:val="007B0EC6"/>
    <w:rsid w:val="007E11BC"/>
    <w:rsid w:val="007F661D"/>
    <w:rsid w:val="0080440E"/>
    <w:rsid w:val="00825EB3"/>
    <w:rsid w:val="008470A1"/>
    <w:rsid w:val="00847C26"/>
    <w:rsid w:val="00852A48"/>
    <w:rsid w:val="008B1C16"/>
    <w:rsid w:val="008C439E"/>
    <w:rsid w:val="008C5EFE"/>
    <w:rsid w:val="008F2B4A"/>
    <w:rsid w:val="008F57CD"/>
    <w:rsid w:val="00924CBB"/>
    <w:rsid w:val="009634B3"/>
    <w:rsid w:val="00980F45"/>
    <w:rsid w:val="00991F31"/>
    <w:rsid w:val="009D3D4D"/>
    <w:rsid w:val="009D62DB"/>
    <w:rsid w:val="00A070E2"/>
    <w:rsid w:val="00A55752"/>
    <w:rsid w:val="00A87164"/>
    <w:rsid w:val="00AA0469"/>
    <w:rsid w:val="00AA4D8B"/>
    <w:rsid w:val="00AD02C8"/>
    <w:rsid w:val="00AE0D89"/>
    <w:rsid w:val="00AF4ECE"/>
    <w:rsid w:val="00AF77AE"/>
    <w:rsid w:val="00B03A76"/>
    <w:rsid w:val="00B17213"/>
    <w:rsid w:val="00B17475"/>
    <w:rsid w:val="00B37285"/>
    <w:rsid w:val="00B751B7"/>
    <w:rsid w:val="00B761AB"/>
    <w:rsid w:val="00BA1647"/>
    <w:rsid w:val="00BB4B57"/>
    <w:rsid w:val="00BB5C66"/>
    <w:rsid w:val="00BF1159"/>
    <w:rsid w:val="00BF2311"/>
    <w:rsid w:val="00C712C7"/>
    <w:rsid w:val="00CB262B"/>
    <w:rsid w:val="00CF631C"/>
    <w:rsid w:val="00D37CB8"/>
    <w:rsid w:val="00D37E1A"/>
    <w:rsid w:val="00D40FF0"/>
    <w:rsid w:val="00D50660"/>
    <w:rsid w:val="00D767A4"/>
    <w:rsid w:val="00DA1EBC"/>
    <w:rsid w:val="00DC078F"/>
    <w:rsid w:val="00DC1AFC"/>
    <w:rsid w:val="00DD7398"/>
    <w:rsid w:val="00DF3034"/>
    <w:rsid w:val="00E24B54"/>
    <w:rsid w:val="00E35AFD"/>
    <w:rsid w:val="00E7187A"/>
    <w:rsid w:val="00E90AC7"/>
    <w:rsid w:val="00E92F55"/>
    <w:rsid w:val="00EE10FE"/>
    <w:rsid w:val="00EF26FD"/>
    <w:rsid w:val="00EF69A4"/>
    <w:rsid w:val="00F37857"/>
    <w:rsid w:val="00F4095E"/>
    <w:rsid w:val="00F50CBB"/>
    <w:rsid w:val="00F53464"/>
    <w:rsid w:val="00F82B29"/>
    <w:rsid w:val="00FA252D"/>
    <w:rsid w:val="00FC6B94"/>
    <w:rsid w:val="5FE03BD1"/>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3"/>
    <w:basedOn w:val="1"/>
    <w:link w:val="11"/>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character" w:default="1" w:styleId="3">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Emphasis"/>
    <w:qFormat/>
    <w:uiPriority w:val="20"/>
    <w:rPr>
      <w:i/>
      <w:iCs/>
    </w:rPr>
  </w:style>
  <w:style w:type="character" w:styleId="6">
    <w:name w:val="Hyperlink"/>
    <w:unhideWhenUsed/>
    <w:qFormat/>
    <w:uiPriority w:val="99"/>
    <w:rPr>
      <w:color w:val="0000FF"/>
      <w:u w:val="single"/>
    </w:r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8">
    <w:name w:val="Table Grid"/>
    <w:basedOn w:val="4"/>
    <w:qFormat/>
    <w:uiPriority w:val="59"/>
    <w:pPr>
      <w:widowControl w:val="0"/>
      <w:spacing w:after="0" w:line="240" w:lineRule="auto"/>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paragraph" w:styleId="9">
    <w:name w:val="List Paragraph"/>
    <w:basedOn w:val="1"/>
    <w:qFormat/>
    <w:uiPriority w:val="1"/>
    <w:pPr>
      <w:ind w:left="720"/>
      <w:contextualSpacing/>
    </w:pPr>
  </w:style>
  <w:style w:type="table" w:customStyle="1" w:styleId="10">
    <w:name w:val="Таблица-сетка 1 светлая1"/>
    <w:basedOn w:val="4"/>
    <w:uiPriority w:val="46"/>
    <w:pPr>
      <w:spacing w:after="0" w:line="240" w:lineRule="auto"/>
    </w:pPr>
    <w:rPr>
      <w:lang w:val="ru-RU" w:eastAsia="en-US"/>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11">
    <w:name w:val="Заголовок 3 Знак"/>
    <w:basedOn w:val="3"/>
    <w:link w:val="2"/>
    <w:qFormat/>
    <w:uiPriority w:val="9"/>
    <w:rPr>
      <w:rFonts w:ascii="Times New Roman" w:hAnsi="Times New Roman" w:eastAsia="Times New Roman" w:cs="Times New Roman"/>
      <w:b/>
      <w:bCs/>
      <w:sz w:val="27"/>
      <w:szCs w:val="27"/>
      <w:lang w:val="ru-RU"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9985B-CF1B-465F-A853-F834CBB8EF0B}">
  <ds:schemaRefs/>
</ds:datastoreItem>
</file>

<file path=docProps/app.xml><?xml version="1.0" encoding="utf-8"?>
<Properties xmlns="http://schemas.openxmlformats.org/officeDocument/2006/extended-properties" xmlns:vt="http://schemas.openxmlformats.org/officeDocument/2006/docPropsVTypes">
  <Template>Normal.dotm</Template>
  <Company>SPecialiST RePack</Company>
  <Pages>2</Pages>
  <Words>585</Words>
  <Characters>4521</Characters>
  <Lines>36</Lines>
  <Paragraphs>10</Paragraphs>
  <TotalTime>5</TotalTime>
  <ScaleCrop>false</ScaleCrop>
  <LinksUpToDate>false</LinksUpToDate>
  <CharactersWithSpaces>5065</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2026-10-13T13:22:00Z</dcterms:created>
  <dc:creator>Sabira M Komekova</dc:creator>
  <cp:lastModifiedBy>user</cp:lastModifiedBy>
  <dcterms:modified xsi:type="dcterms:W3CDTF">2026-10-13T13:29:05Z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835EF3C2E04948DA8E0E3AFE12DD7E7A_13</vt:lpwstr>
  </property>
</Properties>
</file>