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05"/>
        <w:pBdr/>
        <w:spacing/>
        <w:ind/>
        <w:jc w:val="center"/>
        <w:rPr>
          <w:b/>
          <w:bCs/>
          <w:u w:val="single"/>
        </w:rPr>
      </w:pPr>
      <w:r>
        <w:rPr>
          <w:b/>
          <w:u w:val="single"/>
        </w:rPr>
        <w:t xml:space="preserve">Техническая спецификация</w:t>
        <w:br/>
      </w:r>
      <w:r>
        <w:rPr>
          <w:b/>
          <w:u w:val="single"/>
        </w:rPr>
        <w:t xml:space="preserve">на установку автомобильной охранно-телематической системы </w:t>
      </w:r>
      <w:r>
        <w:rPr>
          <w:b/>
          <w:bCs/>
          <w:sz w:val="24"/>
          <w:szCs w:val="24"/>
        </w:rPr>
      </w:r>
    </w:p>
    <w:p>
      <w:pPr>
        <w:pStyle w:val="705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u w:val="single"/>
        </w:rPr>
        <w:t xml:space="preserve">StarLine </w:t>
      </w:r>
      <w:r>
        <w:rPr>
          <w:b/>
          <w:bCs/>
          <w:sz w:val="24"/>
          <w:szCs w:val="24"/>
        </w:rPr>
        <w:t xml:space="preserve">SL E96 v2 BT ECO 2CAN-4LIN</w:t>
      </w:r>
      <w:r>
        <w:rPr>
          <w:b/>
          <w:bCs/>
          <w:sz w:val="24"/>
          <w:szCs w:val="24"/>
        </w:rPr>
      </w:r>
      <w:r/>
    </w:p>
    <w:p>
      <w:pPr>
        <w:pStyle w:val="705"/>
        <w:pBdr/>
        <w:spacing/>
        <w:ind/>
        <w:rPr/>
      </w:pPr>
      <w:r>
        <w:rPr>
          <w:b/>
          <w:u w:val="single"/>
        </w:rPr>
        <w:t xml:space="preserve">Автомобиль</w:t>
      </w:r>
      <w:r>
        <w:rPr>
          <w:b/>
          <w:u w:val="single"/>
          <w:lang w:val="ru-RU"/>
        </w:rPr>
        <w:t xml:space="preserve"> </w:t>
      </w:r>
      <w:r/>
    </w:p>
    <w:p>
      <w:pPr>
        <w:pStyle w:val="705"/>
        <w:pBdr/>
        <w:spacing/>
        <w:ind/>
        <w:rPr>
          <w:highlight w:val="none"/>
        </w:rPr>
      </w:pPr>
      <w:r>
        <w:t xml:space="preserve">Hyundai Grand Starex, 2018 года выпуска, дизельный двигатель 2,5 л.</w:t>
      </w:r>
      <w:r/>
    </w:p>
    <w:p>
      <w:pPr>
        <w:pStyle w:val="705"/>
        <w:pBdr/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705"/>
        <w:pBdr/>
        <w:spacing/>
        <w:ind/>
        <w:jc w:val="both"/>
        <w:rPr/>
      </w:pPr>
      <w:r>
        <w:rPr>
          <w:b/>
          <w:u w:val="single"/>
        </w:rPr>
        <w:t xml:space="preserve">Модель оборудования</w:t>
      </w:r>
      <w:r/>
    </w:p>
    <w:p>
      <w:pPr>
        <w:pStyle w:val="705"/>
        <w:pBdr/>
        <w:spacing/>
        <w:ind/>
        <w:jc w:val="both"/>
        <w:rPr>
          <w:highlight w:val="none"/>
        </w:rPr>
      </w:pPr>
      <w:r>
        <w:t xml:space="preserve">StarLine </w:t>
      </w:r>
      <w:r>
        <w:t xml:space="preserve">SL E96 v2 BT ECO 2CAN-4LIN</w:t>
      </w:r>
      <w:r>
        <w:t xml:space="preserve"> — охранно-телематический ком</w:t>
      </w:r>
      <w:r>
        <w:t xml:space="preserve">плекс с поддержкой GSM, Bluetooth и GPS/ГЛОНАСС. В комплект должны входить основной блок, основной брелок управления с ЖК-дисплеем и обратной связью, не менее </w:t>
      </w:r>
      <w:r>
        <w:rPr>
          <w:lang w:val="ru-RU"/>
        </w:rPr>
        <w:t xml:space="preserve">2</w:t>
      </w:r>
      <w:r>
        <w:t xml:space="preserve"> беспроводн</w:t>
      </w:r>
      <w:r>
        <w:rPr>
          <w:lang w:val="ru-RU"/>
        </w:rPr>
        <w:t xml:space="preserve">ых</w:t>
      </w:r>
      <w:r>
        <w:t xml:space="preserve"> мет</w:t>
      </w:r>
      <w:r>
        <w:rPr>
          <w:lang w:val="ru-RU"/>
        </w:rPr>
        <w:t xml:space="preserve">ок</w:t>
      </w:r>
      <w:r>
        <w:t xml:space="preserve"> Bluetooth, датчики охраны, сирена и необходимые комплектующие для установки.</w:t>
      </w:r>
      <w:r/>
    </w:p>
    <w:p>
      <w:pPr>
        <w:pStyle w:val="705"/>
        <w:pBdr/>
        <w:spacing/>
        <w:ind/>
        <w:jc w:val="both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705"/>
        <w:pBdr/>
        <w:spacing/>
        <w:ind/>
        <w:jc w:val="both"/>
        <w:rPr/>
      </w:pPr>
      <w:r>
        <w:rPr>
          <w:b/>
          <w:u w:val="single"/>
        </w:rPr>
        <w:t xml:space="preserve">Основные характеристики системы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дистанционное управление автомобилем со смартфона и основного брелока;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основной брелок управления с ЖК-дисплеем и обратной связью;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наличие не менее </w:t>
      </w:r>
      <w:r>
        <w:rPr>
          <w:lang w:val="ru-RU"/>
        </w:rPr>
        <w:t xml:space="preserve">2</w:t>
      </w:r>
      <w:r>
        <w:t xml:space="preserve"> беспроводн</w:t>
      </w:r>
      <w:r>
        <w:rPr>
          <w:lang w:val="ru-RU"/>
        </w:rPr>
        <w:t xml:space="preserve">ых</w:t>
      </w:r>
      <w:r>
        <w:t xml:space="preserve"> мет</w:t>
      </w:r>
      <w:r>
        <w:rPr>
          <w:lang w:val="ru-RU"/>
        </w:rPr>
        <w:t xml:space="preserve">ок</w:t>
      </w:r>
      <w:r>
        <w:t xml:space="preserve"> Bluetooth для идентификации владельца;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GSM-связь и уведомления о состоянии автомобиля;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управление системой через мобильное приложение для смартфона;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GPS/ГЛОНАСС-навигация и определение местоположения автомобиля;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контроль дверей, капота, багажника, удара, наклона и движения;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возможность дистанционного запуска дизельного двигателя с учетом предварительного прогрева свечей накаливания и технической совместимости системы с автомобилем;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контроль напряжения аккумуляторной батареи и температуры;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управление и авторизация владельца посредством Bluetooth;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t xml:space="preserve">получение уведомлений о срабатывании охранной системы на мобильное устройство.</w:t>
      </w:r>
      <w:r/>
    </w:p>
    <w:p>
      <w:pPr>
        <w:pStyle w:val="705"/>
        <w:numPr>
          <w:ilvl w:val="0"/>
          <w:numId w:val="13"/>
        </w:numPr>
        <w:pBdr/>
        <w:spacing/>
        <w:ind/>
        <w:jc w:val="both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705"/>
        <w:pBdr/>
        <w:spacing/>
        <w:ind/>
        <w:rPr/>
      </w:pPr>
      <w:r>
        <w:rPr>
          <w:b/>
          <w:u w:val="single"/>
        </w:rPr>
        <w:t xml:space="preserve">Требования к установке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подключение к цифровым шинам автомобиля CAN/LIN при наличии технической возможности;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основной блок устанавливается скрыто в салоне автомобиля;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GPS/ГЛОНАСС-модуль размещается в месте, обеспечивающем устойчивый прием сигнала;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GSM-антенна устанавливается в соответствии с требованиями производителя;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монтаж выполняется с сохранением штатной проводки автомобиля и обеспечением надежной защиты соединений;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производится установка и настройка основного брелока, беспроводн</w:t>
      </w:r>
      <w:r>
        <w:rPr>
          <w:lang w:val="ru-RU"/>
        </w:rPr>
        <w:t xml:space="preserve">ых</w:t>
      </w:r>
      <w:r>
        <w:t xml:space="preserve"> ме</w:t>
      </w:r>
      <w:r>
        <w:rPr>
          <w:lang w:val="ru-RU"/>
        </w:rPr>
        <w:t xml:space="preserve">ток</w:t>
      </w:r>
      <w:r>
        <w:t xml:space="preserve">, мобильного приложения, GSM и GPS/ГЛОНАСС;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для дизельного двигателя выполняется настройка алгоритма дистанционного запуска с учетом работы свечей накаливания;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Исполнитель обеспечивает поставку, монтаж, подключение и пусконаладку автомобильной сигнализации;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t xml:space="preserve">все необходимые материалы, комплектующие и оборудование для установки предоставляются и оплачиваются за счет Исполнителя.</w:t>
      </w:r>
      <w:r/>
    </w:p>
    <w:p>
      <w:pPr>
        <w:pStyle w:val="705"/>
        <w:numPr>
          <w:ilvl w:val="0"/>
          <w:numId w:val="14"/>
        </w:numPr>
        <w:pBdr/>
        <w:spacing/>
        <w:ind/>
        <w:jc w:val="both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705"/>
        <w:pBdr/>
        <w:spacing/>
        <w:ind/>
        <w:rPr/>
      </w:pPr>
      <w:r>
        <w:rPr>
          <w:b/>
          <w:u w:val="single"/>
        </w:rPr>
        <w:t xml:space="preserve">Результат установки</w:t>
      </w:r>
      <w:r/>
    </w:p>
    <w:p>
      <w:pPr>
        <w:pStyle w:val="705"/>
        <w:pBdr/>
        <w:spacing/>
        <w:ind/>
        <w:jc w:val="both"/>
        <w:rPr>
          <w:highlight w:val="none"/>
        </w:rPr>
      </w:pPr>
      <w:r>
        <w:t xml:space="preserve">После установки Заказчик получает полностью работоспособную о</w:t>
      </w:r>
      <w:r>
        <w:t xml:space="preserve">хранно-телематическую систему с управлением посредством брелока с ЖК-дисплеем, беспроводн</w:t>
      </w:r>
      <w:r>
        <w:rPr>
          <w:lang w:val="ru-RU"/>
        </w:rPr>
        <w:t xml:space="preserve">ых</w:t>
      </w:r>
      <w:r>
        <w:t xml:space="preserve"> мет</w:t>
      </w:r>
      <w:r>
        <w:rPr>
          <w:lang w:val="ru-RU"/>
        </w:rPr>
        <w:t xml:space="preserve">ок</w:t>
      </w:r>
      <w:r>
        <w:t xml:space="preserve"> и мобильного приложения, с функциями GSM-связи, GPS/ГЛОНАСС-мониторинга, дистанционного контроля и запуска дизельного двигателя при технической совместимости.</w:t>
      </w:r>
      <w:r/>
    </w:p>
    <w:p>
      <w:pPr>
        <w:pStyle w:val="705"/>
        <w:pBdr/>
        <w:spacing/>
        <w:ind/>
        <w:jc w:val="both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705"/>
        <w:pBdr/>
        <w:spacing/>
        <w:ind/>
        <w:jc w:val="both"/>
        <w:rPr/>
      </w:pPr>
      <w:r>
        <w:rPr>
          <w:b/>
          <w:u w:val="single"/>
        </w:rPr>
        <w:t xml:space="preserve">Место выполнения</w:t>
      </w:r>
      <w:r/>
    </w:p>
    <w:p>
      <w:pPr>
        <w:pStyle w:val="705"/>
        <w:pBdr/>
        <w:spacing/>
        <w:ind/>
        <w:jc w:val="both"/>
        <w:rPr>
          <w:highlight w:val="none"/>
        </w:rPr>
      </w:pPr>
      <w:r>
        <w:t xml:space="preserve">Город Астана.</w:t>
      </w:r>
      <w:r/>
    </w:p>
    <w:p>
      <w:pPr>
        <w:pStyle w:val="705"/>
        <w:pBdr/>
        <w:spacing/>
        <w:ind/>
        <w:jc w:val="both"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705"/>
        <w:pBdr/>
        <w:spacing/>
        <w:ind/>
        <w:jc w:val="both"/>
        <w:rPr/>
      </w:pPr>
      <w:r>
        <w:rPr>
          <w:b/>
          <w:u w:val="single"/>
        </w:rPr>
        <w:t xml:space="preserve">Гарантия</w:t>
      </w:r>
      <w:r/>
    </w:p>
    <w:p>
      <w:pPr>
        <w:pStyle w:val="705"/>
        <w:pBdr/>
        <w:spacing/>
        <w:ind/>
        <w:jc w:val="both"/>
        <w:rPr/>
      </w:pPr>
      <w:r>
        <w:t xml:space="preserve">На автомобильную охранно-телематическую систему — не менее 12 месяцев со дня установки.</w:t>
      </w:r>
      <w:r/>
    </w:p>
    <w:p>
      <w:pPr>
        <w:pStyle w:val="705"/>
        <w:pBdr/>
        <w:spacing/>
        <w:ind/>
        <w:jc w:val="both"/>
        <w:rPr>
          <w:highlight w:val="none"/>
        </w:rPr>
      </w:pPr>
      <w:r>
        <w:t xml:space="preserve">На выполненные монтажные работы — не менее 12 месяцев со дня сдачи автомобиля Заказчику.</w:t>
      </w:r>
      <w:r/>
    </w:p>
    <w:p>
      <w:pPr>
        <w:pBdr/>
        <w:spacing w:after="80" w:line="240" w:lineRule="auto"/>
        <w:ind/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lang w:val="ru-RU"/>
        </w:rPr>
        <w:t xml:space="preserve">Т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ехникалық сипаттама</w:t>
      </w:r>
      <w:r>
        <w:rPr>
          <w:b/>
          <w:bCs/>
          <w:highlight w:val="none"/>
        </w:rPr>
      </w:r>
      <w:r>
        <w:rPr>
          <w:b/>
          <w:bCs/>
        </w:rPr>
      </w:r>
    </w:p>
    <w:p>
      <w:pPr>
        <w:pBdr/>
        <w:spacing w:after="80" w:line="240" w:lineRule="auto"/>
        <w:ind/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u w:val="single"/>
        </w:rPr>
        <w:t xml:space="preserve">StarLine </w:t>
      </w:r>
      <w:r>
        <w:rPr>
          <w:b/>
          <w:bCs/>
          <w:sz w:val="24"/>
          <w:szCs w:val="24"/>
        </w:rPr>
        <w:t xml:space="preserve">SL E96 v2 BT ECO 2CAN-4LIN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 автомобиль күзет-телематикалық жүйесін орнатуға арналған техникалық сипаттама</w:t>
      </w:r>
      <w:r>
        <w:rPr>
          <w:b/>
          <w:bCs/>
          <w:highlight w:val="none"/>
        </w:rPr>
      </w:r>
      <w:r>
        <w:rPr>
          <w:b/>
          <w:bCs/>
        </w:rPr>
      </w:r>
    </w:p>
    <w:p>
      <w:pPr>
        <w:pStyle w:val="705"/>
        <w:pBdr/>
        <w:spacing/>
        <w:ind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none"/>
        </w:rPr>
      </w:r>
    </w:p>
    <w:p>
      <w:pPr>
        <w:pStyle w:val="705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Көлік </w:t>
      </w:r>
      <w:r>
        <w:rPr>
          <w:b/>
          <w:bCs/>
        </w:rPr>
      </w:r>
    </w:p>
    <w:p>
      <w:pPr>
        <w:pStyle w:val="705"/>
        <w:pBdr/>
        <w:spacing/>
        <w:ind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</w:r>
      <w:r>
        <w:t xml:space="preserve">Hyundai Grand Starex</w:t>
      </w:r>
      <w:r/>
      <w:r>
        <w:rPr>
          <w:rFonts w:ascii="Times New Roman" w:hAnsi="Times New Roman" w:eastAsia="Times New Roman" w:cs="Times New Roman"/>
          <w:color w:val="000000"/>
          <w:sz w:val="24"/>
        </w:rPr>
        <w:t xml:space="preserve">, 2018, дизельді қозғалтқыш 2,5 л.</w:t>
      </w:r>
      <w:r>
        <w:rPr>
          <w:rFonts w:ascii="Times New Roman" w:hAnsi="Times New Roman" w:eastAsia="Times New Roman" w:cs="Times New Roman"/>
          <w:sz w:val="24"/>
        </w:rPr>
      </w:r>
    </w:p>
    <w:p>
      <w:pPr>
        <w:pStyle w:val="705"/>
        <w:pBdr/>
        <w:spacing/>
        <w:ind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pStyle w:val="705"/>
        <w:pBdr/>
        <w:spacing/>
        <w:ind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Жабдық моделі</w:t>
      </w:r>
      <w:r>
        <w:rPr>
          <w:b/>
          <w:bCs/>
        </w:rPr>
      </w:r>
    </w:p>
    <w:p>
      <w:pPr>
        <w:pStyle w:val="705"/>
        <w:pBdr/>
        <w:spacing/>
        <w:ind/>
        <w:jc w:val="both"/>
        <w:rPr>
          <w:b/>
          <w:bCs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</w:r>
      <w:r>
        <w:t xml:space="preserve">StarLine </w:t>
      </w:r>
      <w:r>
        <w:t xml:space="preserve">SL E96 v2 BT ECO 2CAN-4LIN</w:t>
      </w:r>
      <w:r/>
      <w:r>
        <w:rPr>
          <w:rFonts w:ascii="Times New Roman" w:hAnsi="Times New Roman" w:eastAsia="Times New Roman" w:cs="Times New Roman"/>
          <w:color w:val="000000"/>
          <w:sz w:val="24"/>
        </w:rPr>
        <w:t xml:space="preserve">, Bluetooth және GPS/GLONASS қолдайтын күзет-телематикалық кешен. Жинаққа негізгі блок, СКД және кері байланысы бар негізгі басқару салпыншағы, кемінде 2 сымсыз Bluetooth белгісі, қауіпсіздік датчиктері, сирена және 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рнату үшін қажетті компоненттер кіруі керек.</w:t>
      </w:r>
      <w:r/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705"/>
        <w:pBdr/>
        <w:spacing/>
        <w:ind/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705"/>
        <w:pBdr/>
        <w:spacing/>
        <w:ind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Жүйенің негізгі сипаттамалары</w:t>
      </w:r>
      <w:r>
        <w:rPr>
          <w:b/>
          <w:bCs/>
        </w:rPr>
      </w:r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смартфоннан және негізгі салпыншақтан автокөлікті қашықтан басқару;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LCD және кері байланысы бар негізгі басқару кілті;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иесін анықтау үшін кемінде 2 сымсыз Bluetooth тегінің болуы;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GSM байланысы және көлік жағдайы туралы хабарламалар;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мобильді смартфон қосымшасы арқылы жүйені басқару;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GPS/ГЛОНАСС-навигация және көліктің орналасқан жерін анықтау;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есіктерді, сорғышты, магистральды, соққыны, еңкейтуді және қозғалысты бақылау;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шамдарды алдын ала қыздыруды және жүйенің автомобильмен техникалық үйлесімділігін ескере отырып дизельді қозғалтқышты қашықтан іске қосу мүмкіндігі;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батареяның кернеуі мен температурасын бақылау;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Bluetooth арқылы иесін басқару және авторизациялау;</w:t>
      </w:r>
      <w:r/>
    </w:p>
    <w:p>
      <w:pPr>
        <w:pStyle w:val="705"/>
        <w:numPr>
          <w:ilvl w:val="0"/>
          <w:numId w:val="10"/>
        </w:numPr>
        <w:pBdr/>
        <w:spacing/>
        <w:ind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ұялы құрылғыға күзет жүйесінің іске қосылуы туралы хабарлама алу.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705"/>
        <w:pBdr/>
        <w:spacing/>
        <w:ind w:firstLine="0" w:left="709"/>
        <w:jc w:val="both"/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Style w:val="705"/>
        <w:pBdr/>
        <w:spacing/>
        <w:ind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Орнату талаптары</w:t>
      </w:r>
      <w:r>
        <w:rPr>
          <w:b/>
          <w:bCs/>
        </w:rPr>
      </w:r>
    </w:p>
    <w:p>
      <w:pPr>
        <w:pStyle w:val="705"/>
        <w:numPr>
          <w:ilvl w:val="0"/>
          <w:numId w:val="11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техникалық мүмкіндік болған жағдайда </w:t>
      </w:r>
      <w:r>
        <w:t xml:space="preserve">CAN/LIN</w:t>
      </w:r>
      <w:r/>
      <w:r>
        <w:rPr>
          <w:rFonts w:ascii="Times New Roman" w:hAnsi="Times New Roman" w:eastAsia="Times New Roman" w:cs="Times New Roman"/>
          <w:color w:val="000000"/>
          <w:sz w:val="24"/>
        </w:rPr>
        <w:t xml:space="preserve"> автокөлігінің сандық шиналарына қосылу;</w:t>
      </w:r>
      <w:r/>
    </w:p>
    <w:p>
      <w:pPr>
        <w:pStyle w:val="705"/>
        <w:numPr>
          <w:ilvl w:val="0"/>
          <w:numId w:val="11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негізгі блок автомобиль салонында жасырын орнатылады;</w:t>
      </w:r>
      <w:r/>
    </w:p>
    <w:p>
      <w:pPr>
        <w:pStyle w:val="705"/>
        <w:numPr>
          <w:ilvl w:val="0"/>
          <w:numId w:val="11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GPS/ГЛОНАСС модулі тұрақты сигнал қабылдауды қамтамасыз ететін жерге орналастырылған;</w:t>
      </w:r>
      <w:r/>
    </w:p>
    <w:p>
      <w:pPr>
        <w:pStyle w:val="705"/>
        <w:numPr>
          <w:ilvl w:val="0"/>
          <w:numId w:val="11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GSM антеннасы өндірушінің талаптарына сәйкес орнатылады;</w:t>
      </w:r>
      <w:r/>
    </w:p>
    <w:p>
      <w:pPr>
        <w:pStyle w:val="705"/>
        <w:numPr>
          <w:ilvl w:val="0"/>
          <w:numId w:val="11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орнату автомобильдің штаттық сымдарын сақтай отырып және қосылыстардың сенімді қорғалуын қамтамасыз ете отырып жүзеге асырылады;</w:t>
      </w:r>
      <w:r/>
    </w:p>
    <w:p>
      <w:pPr>
        <w:pStyle w:val="705"/>
        <w:numPr>
          <w:ilvl w:val="0"/>
          <w:numId w:val="11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негізгі кілтті, сымсыз белгілерді, мобильді қосымшаны, GSM және GPS/GLONASS орнату және конфигурациялау;</w:t>
      </w:r>
      <w:r/>
    </w:p>
    <w:p>
      <w:pPr>
        <w:pStyle w:val="705"/>
        <w:numPr>
          <w:ilvl w:val="0"/>
          <w:numId w:val="11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дизельді қозғалтқыш үшін қыздыру шамдарының жұмысын ескере отырып қашықтықтан іске қосу алгоритмі орнатылады;</w:t>
      </w:r>
      <w:r/>
    </w:p>
    <w:p>
      <w:pPr>
        <w:pStyle w:val="705"/>
        <w:numPr>
          <w:ilvl w:val="0"/>
          <w:numId w:val="11"/>
        </w:numPr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Орындаушы автомобиль дабылын жеткізуді, орнатуды, қосуды және іске қосуды қамтамасыз етеді;</w:t>
      </w:r>
      <w:r/>
    </w:p>
    <w:p>
      <w:pPr>
        <w:pStyle w:val="705"/>
        <w:numPr>
          <w:ilvl w:val="0"/>
          <w:numId w:val="11"/>
        </w:numPr>
        <w:pBdr/>
        <w:spacing/>
        <w:ind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орнату үшін барлық қажетті материалдар, компоненттер мен жабдықтар Орындаушының есебінен беріледі және төленеді.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</w:rPr>
      </w:r>
    </w:p>
    <w:p>
      <w:pPr>
        <w:pStyle w:val="705"/>
        <w:pBdr/>
        <w:spacing/>
        <w:ind/>
        <w:jc w:val="both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705"/>
        <w:pBdr/>
        <w:spacing/>
        <w:ind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Орнату нәтижесі</w:t>
      </w:r>
      <w:r>
        <w:rPr>
          <w:b/>
          <w:bCs/>
        </w:rPr>
      </w:r>
    </w:p>
    <w:p>
      <w:pPr>
        <w:pStyle w:val="705"/>
        <w:pBdr/>
        <w:spacing/>
        <w:ind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Орнатқаннан кейін Тапсырыс беруші GSM байланысы, GPS/ГЛОНАСС мониторингі, қашықтықтан басқару және техникалық үйлесімділік кезінде дизельді қозғалтқышты іске қосу функциялары бар СКД, сымсыз Тегтер және мобильді қосымша арқылы басқарылатын толық жұмыс істе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йтін күзет-телематикалық жүйені алады.</w:t>
      </w:r>
      <w:r>
        <w:rPr>
          <w:rFonts w:ascii="Times New Roman" w:hAnsi="Times New Roman" w:eastAsia="Times New Roman" w:cs="Times New Roman"/>
          <w:sz w:val="24"/>
        </w:rPr>
      </w:r>
    </w:p>
    <w:p>
      <w:pPr>
        <w:pStyle w:val="705"/>
        <w:pBdr/>
        <w:spacing/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pStyle w:val="705"/>
        <w:pBdr/>
        <w:spacing/>
        <w:ind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Орындалу орны</w:t>
      </w:r>
      <w:r>
        <w:rPr>
          <w:b/>
          <w:bCs/>
        </w:rPr>
      </w:r>
    </w:p>
    <w:p>
      <w:pPr>
        <w:pStyle w:val="705"/>
        <w:pBdr/>
        <w:spacing/>
        <w:ind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Астана Қаласы.</w:t>
      </w:r>
      <w:r>
        <w:rPr>
          <w:rFonts w:ascii="Times New Roman" w:hAnsi="Times New Roman" w:eastAsia="Times New Roman" w:cs="Times New Roman"/>
          <w:sz w:val="24"/>
        </w:rPr>
      </w:r>
    </w:p>
    <w:p>
      <w:pPr>
        <w:pStyle w:val="705"/>
        <w:pBdr/>
        <w:spacing/>
        <w:ind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pStyle w:val="705"/>
        <w:pBdr/>
        <w:spacing/>
        <w:ind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Кепілдік</w:t>
      </w:r>
      <w:r>
        <w:rPr>
          <w:b/>
          <w:bCs/>
        </w:rPr>
      </w:r>
    </w:p>
    <w:p>
      <w:pPr>
        <w:pStyle w:val="705"/>
        <w:pBdr/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Автомобиль күзет-телематикалық жүйесіне — орнатылған күннен бастап кемінде 12 ай.</w:t>
      </w:r>
      <w:r/>
    </w:p>
    <w:p>
      <w:pPr>
        <w:pStyle w:val="705"/>
        <w:pBdr/>
        <w:spacing/>
        <w:ind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Орындалған монтаждау жұмыстарына-автокөлікті Тапсырыс берушіге тапсырған күннен бастап кемінде 12 ай.</w:t>
      </w:r>
      <w:r/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sectPr>
      <w:footnotePr/>
      <w:endnotePr/>
      <w:type w:val="nextPage"/>
      <w:pgSz w:h="15840" w:orient="portrait" w:w="12240"/>
      <w:pgMar w:top="800" w:right="1100" w:bottom="800" w:left="11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ourier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FFFFFF7D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FFFFFF7E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pStyle w:val="728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FFFFFF7F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pStyle w:val="727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FFFFFF81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FFFFFF82"/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pStyle w:val="725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FFFFFF8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pStyle w:val="724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FFFFFF88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pStyle w:val="726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FFFFFF89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pStyle w:val="723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9">
    <w:nsid w:val="3C2D83E5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nsid w:val="27595F78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sid w:val="FFFFFF89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2">
    <w:nsid w:val="6B0FF1E0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nsid w:val="0D7CD882"/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81">
    <w:name w:val="footnote text"/>
    <w:basedOn w:val="68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702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702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8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702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702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7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7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88"/>
    <w:next w:val="688"/>
    <w:uiPriority w:val="39"/>
    <w:unhideWhenUsed/>
    <w:pPr>
      <w:pBdr/>
      <w:spacing w:after="100"/>
      <w:ind/>
    </w:pPr>
  </w:style>
  <w:style w:type="paragraph" w:styleId="190">
    <w:name w:val="toc 2"/>
    <w:basedOn w:val="688"/>
    <w:next w:val="688"/>
    <w:uiPriority w:val="39"/>
    <w:unhideWhenUsed/>
    <w:pPr>
      <w:pBdr/>
      <w:spacing w:after="100"/>
      <w:ind w:left="220"/>
    </w:pPr>
  </w:style>
  <w:style w:type="paragraph" w:styleId="191">
    <w:name w:val="toc 3"/>
    <w:basedOn w:val="688"/>
    <w:next w:val="688"/>
    <w:uiPriority w:val="39"/>
    <w:unhideWhenUsed/>
    <w:pPr>
      <w:pBdr/>
      <w:spacing w:after="100"/>
      <w:ind w:left="440"/>
    </w:pPr>
  </w:style>
  <w:style w:type="paragraph" w:styleId="192">
    <w:name w:val="toc 4"/>
    <w:basedOn w:val="688"/>
    <w:next w:val="688"/>
    <w:uiPriority w:val="39"/>
    <w:unhideWhenUsed/>
    <w:pPr>
      <w:pBdr/>
      <w:spacing w:after="100"/>
      <w:ind w:left="660"/>
    </w:pPr>
  </w:style>
  <w:style w:type="paragraph" w:styleId="193">
    <w:name w:val="toc 5"/>
    <w:basedOn w:val="688"/>
    <w:next w:val="688"/>
    <w:uiPriority w:val="39"/>
    <w:unhideWhenUsed/>
    <w:pPr>
      <w:pBdr/>
      <w:spacing w:after="100"/>
      <w:ind w:left="880"/>
    </w:pPr>
  </w:style>
  <w:style w:type="paragraph" w:styleId="194">
    <w:name w:val="toc 6"/>
    <w:basedOn w:val="688"/>
    <w:next w:val="688"/>
    <w:uiPriority w:val="39"/>
    <w:unhideWhenUsed/>
    <w:pPr>
      <w:pBdr/>
      <w:spacing w:after="100"/>
      <w:ind w:left="1100"/>
    </w:pPr>
  </w:style>
  <w:style w:type="paragraph" w:styleId="195">
    <w:name w:val="toc 7"/>
    <w:basedOn w:val="688"/>
    <w:next w:val="688"/>
    <w:uiPriority w:val="39"/>
    <w:unhideWhenUsed/>
    <w:pPr>
      <w:pBdr/>
      <w:spacing w:after="100"/>
      <w:ind w:left="1320"/>
    </w:pPr>
  </w:style>
  <w:style w:type="paragraph" w:styleId="196">
    <w:name w:val="toc 8"/>
    <w:basedOn w:val="688"/>
    <w:next w:val="688"/>
    <w:uiPriority w:val="39"/>
    <w:unhideWhenUsed/>
    <w:pPr>
      <w:pBdr/>
      <w:spacing w:after="100"/>
      <w:ind w:left="1540"/>
    </w:pPr>
  </w:style>
  <w:style w:type="paragraph" w:styleId="197">
    <w:name w:val="toc 9"/>
    <w:basedOn w:val="688"/>
    <w:next w:val="68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702"/>
    <w:uiPriority w:val="99"/>
    <w:semiHidden/>
    <w:pPr>
      <w:pBdr/>
      <w:spacing/>
      <w:ind/>
    </w:pPr>
    <w:rPr>
      <w:color w:val="666666"/>
    </w:rPr>
  </w:style>
  <w:style w:type="paragraph" w:styleId="209">
    <w:name w:val="table of figures"/>
    <w:basedOn w:val="688"/>
    <w:next w:val="688"/>
    <w:uiPriority w:val="99"/>
    <w:unhideWhenUsed/>
    <w:pPr>
      <w:pBdr/>
      <w:spacing w:after="0" w:afterAutospacing="0"/>
      <w:ind/>
    </w:pPr>
  </w:style>
  <w:style w:type="paragraph" w:styleId="688" w:default="1">
    <w:name w:val="Normal"/>
    <w:qFormat/>
    <w:pPr>
      <w:pBdr/>
      <w:spacing/>
      <w:ind/>
    </w:pPr>
    <w:rPr>
      <w:rFonts w:ascii="Times New Roman" w:hAnsi="Times New Roman" w:eastAsia="Times New Roman"/>
      <w:sz w:val="24"/>
    </w:rPr>
  </w:style>
  <w:style w:type="paragraph" w:styleId="689">
    <w:name w:val="Header"/>
    <w:basedOn w:val="688"/>
    <w:link w:val="69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690" w:customStyle="1">
    <w:name w:val="Header Char"/>
    <w:basedOn w:val="702"/>
    <w:link w:val="689"/>
    <w:uiPriority w:val="99"/>
    <w:pPr>
      <w:pBdr/>
      <w:spacing/>
      <w:ind/>
    </w:pPr>
  </w:style>
  <w:style w:type="paragraph" w:styleId="691">
    <w:name w:val="Footer"/>
    <w:basedOn w:val="688"/>
    <w:link w:val="69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692" w:customStyle="1">
    <w:name w:val="Footer Char"/>
    <w:basedOn w:val="702"/>
    <w:link w:val="691"/>
    <w:uiPriority w:val="99"/>
    <w:pPr>
      <w:pBdr/>
      <w:spacing/>
      <w:ind/>
    </w:pPr>
  </w:style>
  <w:style w:type="paragraph" w:styleId="693">
    <w:name w:val="Heading 1"/>
    <w:basedOn w:val="688"/>
    <w:next w:val="688"/>
    <w:link w:val="706"/>
    <w:uiPriority w:val="9"/>
    <w:qFormat/>
    <w:pPr>
      <w:keepNext w:val="true"/>
      <w:keepLines w:val="true"/>
      <w:pBdr/>
      <w:spacing w:after="0" w:before="480"/>
      <w:ind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694">
    <w:name w:val="Heading 2"/>
    <w:basedOn w:val="688"/>
    <w:next w:val="688"/>
    <w:link w:val="707"/>
    <w:uiPriority w:val="9"/>
    <w:unhideWhenUsed/>
    <w:qFormat/>
    <w:pPr>
      <w:keepNext w:val="true"/>
      <w:keepLines w:val="true"/>
      <w:pBdr/>
      <w:spacing w:after="0"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95">
    <w:name w:val="Heading 3"/>
    <w:basedOn w:val="688"/>
    <w:next w:val="688"/>
    <w:link w:val="708"/>
    <w:uiPriority w:val="9"/>
    <w:unhideWhenUsed/>
    <w:qFormat/>
    <w:pPr>
      <w:keepNext w:val="true"/>
      <w:keepLines w:val="true"/>
      <w:pBdr/>
      <w:spacing w:after="0" w:before="200"/>
      <w:ind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696">
    <w:name w:val="Heading 4"/>
    <w:basedOn w:val="688"/>
    <w:next w:val="688"/>
    <w:link w:val="736"/>
    <w:uiPriority w:val="9"/>
    <w:semiHidden/>
    <w:unhideWhenUsed/>
    <w:qFormat/>
    <w:pPr>
      <w:keepNext w:val="true"/>
      <w:keepLines w:val="true"/>
      <w:pBdr/>
      <w:spacing w:after="0" w:before="200"/>
      <w:ind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697">
    <w:name w:val="Heading 5"/>
    <w:basedOn w:val="688"/>
    <w:next w:val="688"/>
    <w:link w:val="737"/>
    <w:uiPriority w:val="9"/>
    <w:semiHidden/>
    <w:unhideWhenUsed/>
    <w:qFormat/>
    <w:pPr>
      <w:keepNext w:val="true"/>
      <w:keepLines w:val="true"/>
      <w:pBdr/>
      <w:spacing w:after="0" w:before="200"/>
      <w:ind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698">
    <w:name w:val="Heading 6"/>
    <w:basedOn w:val="688"/>
    <w:next w:val="688"/>
    <w:link w:val="738"/>
    <w:uiPriority w:val="9"/>
    <w:semiHidden/>
    <w:unhideWhenUsed/>
    <w:qFormat/>
    <w:pPr>
      <w:keepNext w:val="true"/>
      <w:keepLines w:val="true"/>
      <w:pBdr/>
      <w:spacing w:after="0" w:before="200"/>
      <w:ind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699">
    <w:name w:val="Heading 7"/>
    <w:basedOn w:val="688"/>
    <w:next w:val="688"/>
    <w:link w:val="739"/>
    <w:uiPriority w:val="9"/>
    <w:semiHidden/>
    <w:unhideWhenUsed/>
    <w:qFormat/>
    <w:pPr>
      <w:keepNext w:val="true"/>
      <w:keepLines w:val="true"/>
      <w:pBdr/>
      <w:spacing w:after="0" w:before="200"/>
      <w:ind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700">
    <w:name w:val="Heading 8"/>
    <w:basedOn w:val="688"/>
    <w:next w:val="688"/>
    <w:link w:val="740"/>
    <w:uiPriority w:val="9"/>
    <w:semiHidden/>
    <w:unhideWhenUsed/>
    <w:qFormat/>
    <w:pPr>
      <w:keepNext w:val="true"/>
      <w:keepLines w:val="true"/>
      <w:pBdr/>
      <w:spacing w:after="0" w:before="200"/>
      <w:ind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701">
    <w:name w:val="Heading 9"/>
    <w:basedOn w:val="688"/>
    <w:next w:val="688"/>
    <w:link w:val="741"/>
    <w:uiPriority w:val="9"/>
    <w:semiHidden/>
    <w:unhideWhenUsed/>
    <w:qFormat/>
    <w:pPr>
      <w:keepNext w:val="true"/>
      <w:keepLines w:val="true"/>
      <w:pBdr/>
      <w:spacing w:after="0" w:before="200"/>
      <w:ind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702" w:default="1">
    <w:name w:val="Default Paragraph Font"/>
    <w:uiPriority w:val="1"/>
    <w:semiHidden/>
    <w:unhideWhenUsed/>
    <w:pPr>
      <w:pBdr/>
      <w:spacing/>
      <w:ind/>
    </w:pPr>
  </w:style>
  <w:style w:type="table" w:styleId="70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4" w:default="1">
    <w:name w:val="No List"/>
    <w:uiPriority w:val="99"/>
    <w:semiHidden/>
    <w:unhideWhenUsed/>
    <w:pPr>
      <w:pBdr/>
      <w:spacing/>
      <w:ind/>
    </w:pPr>
  </w:style>
  <w:style w:type="paragraph" w:styleId="705">
    <w:name w:val="No Spacing"/>
    <w:uiPriority w:val="1"/>
    <w:qFormat/>
    <w:pPr>
      <w:pBdr/>
      <w:spacing w:after="0" w:line="240" w:lineRule="auto"/>
      <w:ind/>
    </w:pPr>
  </w:style>
  <w:style w:type="character" w:styleId="706" w:customStyle="1">
    <w:name w:val="Heading 1 Char"/>
    <w:basedOn w:val="702"/>
    <w:link w:val="693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707" w:customStyle="1">
    <w:name w:val="Heading 2 Char"/>
    <w:basedOn w:val="702"/>
    <w:link w:val="694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708" w:customStyle="1">
    <w:name w:val="Heading 3 Char"/>
    <w:basedOn w:val="702"/>
    <w:link w:val="695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709">
    <w:name w:val="Title"/>
    <w:basedOn w:val="688"/>
    <w:next w:val="688"/>
    <w:link w:val="710"/>
    <w:uiPriority w:val="10"/>
    <w:qFormat/>
    <w:pPr>
      <w:pBdr>
        <w:bottom w:val="single" w:color="4f81bd" w:themeColor="accent1" w:sz="8" w:space="4"/>
      </w:pBdr>
      <w:spacing w:after="300" w:line="240" w:lineRule="auto"/>
      <w:ind/>
      <w:contextualSpacing w:val="true"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710" w:customStyle="1">
    <w:name w:val="Title Char"/>
    <w:basedOn w:val="702"/>
    <w:link w:val="709"/>
    <w:uiPriority w:val="10"/>
    <w:pPr>
      <w:pBdr/>
      <w:spacing/>
      <w:ind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711">
    <w:name w:val="Subtitle"/>
    <w:basedOn w:val="688"/>
    <w:next w:val="688"/>
    <w:link w:val="712"/>
    <w:uiPriority w:val="11"/>
    <w:qFormat/>
    <w:pPr>
      <w:numPr>
        <w:ilvl w:val="1"/>
      </w:num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712" w:customStyle="1">
    <w:name w:val="Subtitle Char"/>
    <w:basedOn w:val="702"/>
    <w:link w:val="711"/>
    <w:uiPriority w:val="11"/>
    <w:p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713">
    <w:name w:val="List Paragraph"/>
    <w:basedOn w:val="688"/>
    <w:uiPriority w:val="34"/>
    <w:qFormat/>
    <w:pPr>
      <w:pBdr/>
      <w:spacing/>
      <w:ind w:left="720"/>
      <w:contextualSpacing w:val="true"/>
    </w:pPr>
  </w:style>
  <w:style w:type="paragraph" w:styleId="714">
    <w:name w:val="Body Text"/>
    <w:basedOn w:val="688"/>
    <w:link w:val="715"/>
    <w:uiPriority w:val="99"/>
    <w:unhideWhenUsed/>
    <w:pPr>
      <w:pBdr/>
      <w:spacing w:after="120"/>
      <w:ind/>
    </w:pPr>
  </w:style>
  <w:style w:type="character" w:styleId="715" w:customStyle="1">
    <w:name w:val="Body Text Char"/>
    <w:basedOn w:val="702"/>
    <w:link w:val="714"/>
    <w:uiPriority w:val="99"/>
    <w:pPr>
      <w:pBdr/>
      <w:spacing/>
      <w:ind/>
    </w:pPr>
  </w:style>
  <w:style w:type="paragraph" w:styleId="716">
    <w:name w:val="Body Text 2"/>
    <w:basedOn w:val="688"/>
    <w:link w:val="717"/>
    <w:uiPriority w:val="99"/>
    <w:unhideWhenUsed/>
    <w:pPr>
      <w:pBdr/>
      <w:spacing w:after="120" w:line="480" w:lineRule="auto"/>
      <w:ind/>
    </w:pPr>
  </w:style>
  <w:style w:type="character" w:styleId="717" w:customStyle="1">
    <w:name w:val="Body Text 2 Char"/>
    <w:basedOn w:val="702"/>
    <w:link w:val="716"/>
    <w:uiPriority w:val="99"/>
    <w:pPr>
      <w:pBdr/>
      <w:spacing/>
      <w:ind/>
    </w:pPr>
  </w:style>
  <w:style w:type="paragraph" w:styleId="718">
    <w:name w:val="Body Text 3"/>
    <w:basedOn w:val="688"/>
    <w:link w:val="719"/>
    <w:uiPriority w:val="99"/>
    <w:unhideWhenUsed/>
    <w:pPr>
      <w:pBdr/>
      <w:spacing w:after="120"/>
      <w:ind/>
    </w:pPr>
    <w:rPr>
      <w:sz w:val="16"/>
      <w:szCs w:val="16"/>
    </w:rPr>
  </w:style>
  <w:style w:type="character" w:styleId="719" w:customStyle="1">
    <w:name w:val="Body Text 3 Char"/>
    <w:basedOn w:val="702"/>
    <w:link w:val="718"/>
    <w:uiPriority w:val="99"/>
    <w:pPr>
      <w:pBdr/>
      <w:spacing/>
      <w:ind/>
    </w:pPr>
    <w:rPr>
      <w:sz w:val="16"/>
      <w:szCs w:val="16"/>
    </w:rPr>
  </w:style>
  <w:style w:type="paragraph" w:styleId="720">
    <w:name w:val="List"/>
    <w:basedOn w:val="688"/>
    <w:uiPriority w:val="99"/>
    <w:unhideWhenUsed/>
    <w:pPr>
      <w:pBdr/>
      <w:spacing/>
      <w:ind w:hanging="360" w:left="360"/>
      <w:contextualSpacing w:val="true"/>
    </w:pPr>
  </w:style>
  <w:style w:type="paragraph" w:styleId="721">
    <w:name w:val="List 2"/>
    <w:basedOn w:val="688"/>
    <w:uiPriority w:val="99"/>
    <w:unhideWhenUsed/>
    <w:pPr>
      <w:pBdr/>
      <w:spacing/>
      <w:ind w:hanging="360" w:left="720"/>
      <w:contextualSpacing w:val="true"/>
    </w:pPr>
  </w:style>
  <w:style w:type="paragraph" w:styleId="722">
    <w:name w:val="List 3"/>
    <w:basedOn w:val="688"/>
    <w:uiPriority w:val="99"/>
    <w:unhideWhenUsed/>
    <w:pPr>
      <w:pBdr/>
      <w:spacing/>
      <w:ind w:hanging="360" w:left="1080"/>
      <w:contextualSpacing w:val="true"/>
    </w:pPr>
  </w:style>
  <w:style w:type="paragraph" w:styleId="723">
    <w:name w:val="List Bullet"/>
    <w:basedOn w:val="688"/>
    <w:uiPriority w:val="99"/>
    <w:unhideWhenUsed/>
    <w:pPr>
      <w:numPr>
        <w:numId w:val="1"/>
      </w:numPr>
      <w:pBdr/>
      <w:spacing/>
      <w:ind/>
      <w:contextualSpacing w:val="true"/>
    </w:pPr>
  </w:style>
  <w:style w:type="paragraph" w:styleId="724">
    <w:name w:val="List Bullet 2"/>
    <w:basedOn w:val="688"/>
    <w:uiPriority w:val="99"/>
    <w:unhideWhenUsed/>
    <w:pPr>
      <w:numPr>
        <w:numId w:val="2"/>
      </w:numPr>
      <w:pBdr/>
      <w:spacing/>
      <w:ind/>
      <w:contextualSpacing w:val="true"/>
    </w:pPr>
  </w:style>
  <w:style w:type="paragraph" w:styleId="725">
    <w:name w:val="List Bullet 3"/>
    <w:basedOn w:val="688"/>
    <w:uiPriority w:val="99"/>
    <w:unhideWhenUsed/>
    <w:pPr>
      <w:numPr>
        <w:numId w:val="3"/>
      </w:numPr>
      <w:pBdr/>
      <w:spacing/>
      <w:ind/>
      <w:contextualSpacing w:val="true"/>
    </w:pPr>
  </w:style>
  <w:style w:type="paragraph" w:styleId="726">
    <w:name w:val="List Number"/>
    <w:basedOn w:val="688"/>
    <w:uiPriority w:val="99"/>
    <w:unhideWhenUsed/>
    <w:pPr>
      <w:numPr>
        <w:numId w:val="5"/>
      </w:numPr>
      <w:pBdr/>
      <w:spacing/>
      <w:ind/>
      <w:contextualSpacing w:val="true"/>
    </w:pPr>
  </w:style>
  <w:style w:type="paragraph" w:styleId="727">
    <w:name w:val="List Number 2"/>
    <w:basedOn w:val="688"/>
    <w:uiPriority w:val="99"/>
    <w:unhideWhenUsed/>
    <w:pPr>
      <w:numPr>
        <w:numId w:val="6"/>
      </w:numPr>
      <w:pBdr/>
      <w:spacing/>
      <w:ind/>
      <w:contextualSpacing w:val="true"/>
    </w:pPr>
  </w:style>
  <w:style w:type="paragraph" w:styleId="728">
    <w:name w:val="List Number 3"/>
    <w:basedOn w:val="688"/>
    <w:uiPriority w:val="99"/>
    <w:unhideWhenUsed/>
    <w:pPr>
      <w:numPr>
        <w:numId w:val="7"/>
      </w:numPr>
      <w:pBdr/>
      <w:spacing/>
      <w:ind/>
      <w:contextualSpacing w:val="true"/>
    </w:pPr>
  </w:style>
  <w:style w:type="paragraph" w:styleId="729">
    <w:name w:val="List Continue"/>
    <w:basedOn w:val="688"/>
    <w:uiPriority w:val="99"/>
    <w:unhideWhenUsed/>
    <w:pPr>
      <w:pBdr/>
      <w:spacing w:after="120"/>
      <w:ind w:left="360"/>
      <w:contextualSpacing w:val="true"/>
    </w:pPr>
  </w:style>
  <w:style w:type="paragraph" w:styleId="730">
    <w:name w:val="List Continue 2"/>
    <w:basedOn w:val="688"/>
    <w:uiPriority w:val="99"/>
    <w:unhideWhenUsed/>
    <w:pPr>
      <w:pBdr/>
      <w:spacing w:after="120"/>
      <w:ind w:left="720"/>
      <w:contextualSpacing w:val="true"/>
    </w:pPr>
  </w:style>
  <w:style w:type="paragraph" w:styleId="731">
    <w:name w:val="List Continue 3"/>
    <w:basedOn w:val="688"/>
    <w:uiPriority w:val="99"/>
    <w:unhideWhenUsed/>
    <w:pPr>
      <w:pBdr/>
      <w:spacing w:after="120"/>
      <w:ind w:left="1080"/>
      <w:contextualSpacing w:val="true"/>
    </w:pPr>
  </w:style>
  <w:style w:type="paragraph" w:styleId="732">
    <w:name w:val="macro"/>
    <w:link w:val="733"/>
    <w:uiPriority w:val="99"/>
    <w:unhideWhenUsed/>
    <w:pPr>
      <w:pBdr/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  <w:spacing/>
      <w:ind/>
    </w:pPr>
    <w:rPr>
      <w:rFonts w:ascii="Courier" w:hAnsi="Courier"/>
      <w:sz w:val="20"/>
      <w:szCs w:val="20"/>
    </w:rPr>
  </w:style>
  <w:style w:type="character" w:styleId="733" w:customStyle="1">
    <w:name w:val="Macro Text Char"/>
    <w:basedOn w:val="702"/>
    <w:link w:val="732"/>
    <w:uiPriority w:val="99"/>
    <w:pPr>
      <w:pBdr/>
      <w:spacing/>
      <w:ind/>
    </w:pPr>
    <w:rPr>
      <w:rFonts w:ascii="Courier" w:hAnsi="Courier"/>
      <w:sz w:val="20"/>
      <w:szCs w:val="20"/>
    </w:rPr>
  </w:style>
  <w:style w:type="paragraph" w:styleId="734">
    <w:name w:val="Quote"/>
    <w:basedOn w:val="688"/>
    <w:next w:val="688"/>
    <w:link w:val="735"/>
    <w:uiPriority w:val="29"/>
    <w:qFormat/>
    <w:pPr>
      <w:pBdr/>
      <w:spacing/>
      <w:ind/>
    </w:pPr>
    <w:rPr>
      <w:i/>
      <w:iCs/>
      <w:color w:val="000000" w:themeColor="text1"/>
    </w:rPr>
  </w:style>
  <w:style w:type="character" w:styleId="735" w:customStyle="1">
    <w:name w:val="Quote Char"/>
    <w:basedOn w:val="702"/>
    <w:link w:val="734"/>
    <w:uiPriority w:val="29"/>
    <w:pPr>
      <w:pBdr/>
      <w:spacing/>
      <w:ind/>
    </w:pPr>
    <w:rPr>
      <w:i/>
      <w:iCs/>
      <w:color w:val="000000" w:themeColor="text1"/>
    </w:rPr>
  </w:style>
  <w:style w:type="character" w:styleId="736" w:customStyle="1">
    <w:name w:val="Heading 4 Char"/>
    <w:basedOn w:val="702"/>
    <w:link w:val="696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737" w:customStyle="1">
    <w:name w:val="Heading 5 Char"/>
    <w:basedOn w:val="702"/>
    <w:link w:val="69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738" w:customStyle="1">
    <w:name w:val="Heading 6 Char"/>
    <w:basedOn w:val="702"/>
    <w:link w:val="698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739" w:customStyle="1">
    <w:name w:val="Heading 7 Char"/>
    <w:basedOn w:val="702"/>
    <w:link w:val="699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740" w:customStyle="1">
    <w:name w:val="Heading 8 Char"/>
    <w:basedOn w:val="702"/>
    <w:link w:val="70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741" w:customStyle="1">
    <w:name w:val="Heading 9 Char"/>
    <w:basedOn w:val="702"/>
    <w:link w:val="701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742">
    <w:name w:val="Caption"/>
    <w:basedOn w:val="688"/>
    <w:next w:val="688"/>
    <w:uiPriority w:val="35"/>
    <w:semiHidden/>
    <w:unhideWhenUsed/>
    <w:qFormat/>
    <w:pPr>
      <w:pBdr/>
      <w:spacing w:line="240" w:lineRule="auto"/>
      <w:ind/>
    </w:pPr>
    <w:rPr>
      <w:b/>
      <w:bCs/>
      <w:color w:val="4f81bd" w:themeColor="accent1"/>
      <w:sz w:val="18"/>
      <w:szCs w:val="18"/>
    </w:rPr>
  </w:style>
  <w:style w:type="character" w:styleId="743">
    <w:name w:val="Strong"/>
    <w:basedOn w:val="702"/>
    <w:uiPriority w:val="22"/>
    <w:qFormat/>
    <w:pPr>
      <w:pBdr/>
      <w:spacing/>
      <w:ind/>
    </w:pPr>
    <w:rPr>
      <w:b/>
      <w:bCs/>
    </w:rPr>
  </w:style>
  <w:style w:type="character" w:styleId="744">
    <w:name w:val="Emphasis"/>
    <w:basedOn w:val="702"/>
    <w:uiPriority w:val="20"/>
    <w:qFormat/>
    <w:pPr>
      <w:pBdr/>
      <w:spacing/>
      <w:ind/>
    </w:pPr>
    <w:rPr>
      <w:i/>
      <w:iCs/>
    </w:rPr>
  </w:style>
  <w:style w:type="paragraph" w:styleId="745">
    <w:name w:val="Intense Quote"/>
    <w:basedOn w:val="688"/>
    <w:next w:val="688"/>
    <w:link w:val="746"/>
    <w:uiPriority w:val="30"/>
    <w:qFormat/>
    <w:pPr>
      <w:pBdr>
        <w:bottom w:val="single" w:color="4f81bd" w:themeColor="accent1" w:sz="4" w:space="4"/>
      </w:pBdr>
      <w:spacing w:after="280" w:before="200"/>
      <w:ind w:right="936" w:left="936"/>
    </w:pPr>
    <w:rPr>
      <w:b/>
      <w:bCs/>
      <w:i/>
      <w:iCs/>
      <w:color w:val="4f81bd" w:themeColor="accent1"/>
    </w:rPr>
  </w:style>
  <w:style w:type="character" w:styleId="746" w:customStyle="1">
    <w:name w:val="Intense Quote Char"/>
    <w:basedOn w:val="702"/>
    <w:link w:val="745"/>
    <w:uiPriority w:val="30"/>
    <w:pPr>
      <w:pBdr/>
      <w:spacing/>
      <w:ind/>
    </w:pPr>
    <w:rPr>
      <w:b/>
      <w:bCs/>
      <w:i/>
      <w:iCs/>
      <w:color w:val="4f81bd" w:themeColor="accent1"/>
    </w:rPr>
  </w:style>
  <w:style w:type="character" w:styleId="747">
    <w:name w:val="Subtle Emphasis"/>
    <w:basedOn w:val="702"/>
    <w:uiPriority w:val="19"/>
    <w:qFormat/>
    <w:pPr>
      <w:pBdr/>
      <w:spacing/>
      <w:ind/>
    </w:pPr>
    <w:rPr>
      <w:i/>
      <w:iCs/>
      <w:color w:val="808080" w:themeColor="text1" w:themeTint="7F"/>
    </w:rPr>
  </w:style>
  <w:style w:type="character" w:styleId="748">
    <w:name w:val="Intense Emphasis"/>
    <w:basedOn w:val="702"/>
    <w:uiPriority w:val="21"/>
    <w:qFormat/>
    <w:pPr>
      <w:pBdr/>
      <w:spacing/>
      <w:ind/>
    </w:pPr>
    <w:rPr>
      <w:b/>
      <w:bCs/>
      <w:i/>
      <w:iCs/>
      <w:color w:val="4f81bd" w:themeColor="accent1"/>
    </w:rPr>
  </w:style>
  <w:style w:type="character" w:styleId="749">
    <w:name w:val="Subtle Reference"/>
    <w:basedOn w:val="702"/>
    <w:uiPriority w:val="31"/>
    <w:qFormat/>
    <w:pPr>
      <w:pBdr/>
      <w:spacing/>
      <w:ind/>
    </w:pPr>
    <w:rPr>
      <w:smallCaps/>
      <w:color w:val="c0504d" w:themeColor="accent2"/>
      <w:u w:val="single"/>
    </w:rPr>
  </w:style>
  <w:style w:type="character" w:styleId="750">
    <w:name w:val="Intense Reference"/>
    <w:basedOn w:val="702"/>
    <w:uiPriority w:val="32"/>
    <w:qFormat/>
    <w:pPr>
      <w:pBdr/>
      <w:spacing/>
      <w:ind/>
    </w:pPr>
    <w:rPr>
      <w:b/>
      <w:bCs/>
      <w:smallCaps/>
      <w:color w:val="c0504d" w:themeColor="accent2"/>
      <w:spacing w:val="5"/>
      <w:u w:val="single"/>
    </w:rPr>
  </w:style>
  <w:style w:type="character" w:styleId="751">
    <w:name w:val="Book Title"/>
    <w:basedOn w:val="702"/>
    <w:uiPriority w:val="33"/>
    <w:qFormat/>
    <w:pPr>
      <w:pBdr/>
      <w:spacing/>
      <w:ind/>
    </w:pPr>
    <w:rPr>
      <w:b/>
      <w:bCs/>
      <w:smallCaps/>
      <w:spacing w:val="5"/>
    </w:rPr>
  </w:style>
  <w:style w:type="paragraph" w:styleId="752">
    <w:name w:val="TOC Heading"/>
    <w:basedOn w:val="693"/>
    <w:next w:val="688"/>
    <w:uiPriority w:val="39"/>
    <w:semiHidden/>
    <w:unhideWhenUsed/>
    <w:qFormat/>
    <w:pPr>
      <w:pBdr/>
      <w:spacing/>
      <w:ind/>
      <w:outlineLvl w:val="9"/>
    </w:pPr>
  </w:style>
  <w:style w:type="table" w:styleId="753">
    <w:name w:val="Table Grid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ght Shading"/>
    <w:basedOn w:val="703"/>
    <w:uiPriority w:val="60"/>
    <w:pPr>
      <w:pBdr/>
      <w:spacing w:after="0" w:line="240" w:lineRule="auto"/>
      <w:ind/>
    </w:pPr>
    <w:rPr>
      <w:color w:val="000000" w:themeColor="tex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ght Shading Accent 1"/>
    <w:basedOn w:val="703"/>
    <w:uiPriority w:val="60"/>
    <w:pPr>
      <w:pBdr/>
      <w:spacing w:after="0" w:line="240" w:lineRule="auto"/>
      <w:ind/>
    </w:pPr>
    <w:rPr>
      <w:color w:val="365f91" w:themeColor="accen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ght Shading Accent 2"/>
    <w:basedOn w:val="703"/>
    <w:uiPriority w:val="60"/>
    <w:pPr>
      <w:pBdr/>
      <w:spacing w:after="0" w:line="240" w:lineRule="auto"/>
      <w:ind/>
    </w:pPr>
    <w:rPr>
      <w:color w:val="943634" w:themeColor="accent2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ght Shading Accent 3"/>
    <w:basedOn w:val="703"/>
    <w:uiPriority w:val="60"/>
    <w:pPr>
      <w:pBdr/>
      <w:spacing w:after="0" w:line="240" w:lineRule="auto"/>
      <w:ind/>
    </w:pPr>
    <w:rPr>
      <w:color w:val="76923c" w:themeColor="accent3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ght Shading Accent 4"/>
    <w:basedOn w:val="703"/>
    <w:uiPriority w:val="60"/>
    <w:pPr>
      <w:pBdr/>
      <w:spacing w:after="0" w:line="240" w:lineRule="auto"/>
      <w:ind/>
    </w:pPr>
    <w:rPr>
      <w:color w:val="5f497a" w:themeColor="accent4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ght Shading Accent 5"/>
    <w:basedOn w:val="703"/>
    <w:uiPriority w:val="60"/>
    <w:pPr>
      <w:pBdr/>
      <w:spacing w:after="0" w:line="240" w:lineRule="auto"/>
      <w:ind/>
    </w:pPr>
    <w:rPr>
      <w:color w:val="31849b" w:themeColor="accent5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ght Shading Accent 6"/>
    <w:basedOn w:val="703"/>
    <w:uiPriority w:val="60"/>
    <w:pPr>
      <w:pBdr/>
      <w:spacing w:after="0" w:line="240" w:lineRule="auto"/>
      <w:ind/>
    </w:pPr>
    <w:rPr>
      <w:color w:val="e36c0a" w:themeColor="accent6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ght List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ght List Accent 1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ght List Accent 2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ght List Accent 3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ght List Accent 4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ght List Accent 5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ght List Accent 6"/>
    <w:basedOn w:val="703"/>
    <w:uiPriority w:val="61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ght Grid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ght Grid Accent 1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ght Grid Accent 2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ght Grid Accent 3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ght Grid Accent 4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ght Grid Accent 5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ght Grid Accent 6"/>
    <w:basedOn w:val="703"/>
    <w:uiPriority w:val="62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Medium Shading 1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Medium Shading 1 Accent 1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Medium Shading 1 Accent 2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Medium Shading 1 Accent 3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Medium Shading 1 Accent 4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Medium Shading 1 Accent 5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Medium Shading 1 Accent 6"/>
    <w:basedOn w:val="703"/>
    <w:uiPriority w:val="63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Medium Shading 2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Medium Shading 2 Accent 1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Medium Shading 2 Accent 2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Medium Shading 2 Accent 3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Medium Shading 2 Accent 4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Medium Shading 2 Accent 5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Medium Shading 2 Accent 6"/>
    <w:basedOn w:val="703"/>
    <w:uiPriority w:val="64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Medium List 1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Medium List 1 Accent 1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Medium List 1 Accent 2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Medium List 1 Accent 3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Medium List 1 Accent 4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Medium List 1 Accent 5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Medium List 1 Accent 6"/>
    <w:basedOn w:val="703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Medium List 2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Medium List 2 Accent 1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Medium List 2 Accent 2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Medium List 2 Accent 3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Medium List 2 Accent 4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Medium List 2 Accent 5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Medium List 2 Accent 6"/>
    <w:basedOn w:val="703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Medium Grid 1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04040" w:themeColor="tex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Medium Grid 1 Accent 1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ba0cd" w:themeColor="accen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Medium Grid 1 Accent 2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f7b79" w:themeColor="accent2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Medium Grid 1 Accent 3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b3cc82" w:themeColor="accent3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Medium Grid 1 Accent 4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f8ab9" w:themeColor="accent4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Medium Grid 1 Accent 5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8c0d4" w:themeColor="accent5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Medium Grid 1 Accent 6"/>
    <w:basedOn w:val="703"/>
    <w:uiPriority w:val="67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9b074" w:themeColor="accent6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Medium Grid 2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6e6e6" w:themeFill="tex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Medium Grid 2 Accent 1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2f8" w:themeFill="accen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Medium Grid 2 Accent 2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8eded" w:themeFill="accent2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Medium Grid 2 Accent 3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5f8ee" w:themeFill="accent3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Medium Grid 2 Accent 4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eff6" w:themeFill="accent4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Medium Grid 2 Accent 5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6f9" w:themeFill="accent5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Medium Grid 2 Accent 6"/>
    <w:basedOn w:val="703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ef4ec" w:themeFill="accent6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Medium Grid 3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Medium Grid 3 Accent 1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Medium Grid 3 Accent 2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Medium Grid 3 Accent 3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Medium Grid 3 Accent 4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Medium Grid 3 Accent 5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Medium Grid 3 Accent 6"/>
    <w:basedOn w:val="703"/>
    <w:uiPriority w:val="69"/>
    <w:pPr>
      <w:pBdr/>
      <w:spacing w:after="0" w:line="240" w:lineRule="auto"/>
      <w:ind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Dark List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000000" w:themeFill="tex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Dark List Accent 1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f81bd" w:themeFill="accen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Dark List Accent 2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c0504d" w:themeFill="accent2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Dark List Accent 3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9bbb59" w:themeFill="accent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Dark List Accent 4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8064a2" w:themeFill="accent4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Dark List Accent 5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4bacc6" w:themeFill="accent5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Dark List Accent 6"/>
    <w:basedOn w:val="703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79646" w:themeFill="accent6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Colorful Shading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Colorful Shading Accent 1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Colorful Shading Accent 2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Colorful Shading Accent 3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Colorful Shading Accent 4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Colorful Shading Accent 5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Colorful Shading Accent 6"/>
    <w:basedOn w:val="703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Colorful List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Colorful List Accent 1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Colorful List Accent 2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Colorful List Accent 3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664e82" w:themeColor="accent4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Colorful List Accent 4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7e9c40" w:themeColor="accent3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Colorful List Accent 5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f2730a" w:themeColor="accent6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Colorful List Accent 6"/>
    <w:basedOn w:val="703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348da5" w:themeColor="accent5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Colorful Grid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Colorful Grid Accent 1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Colorful Grid Accent 2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Colorful Grid Accent 3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Colorful Grid Accent 4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Colorful Grid Accent 5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Colorful Grid Accent 6"/>
    <w:basedOn w:val="703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Manager/>
  <Company/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revision>2</cp:revision>
  <dcterms:created xsi:type="dcterms:W3CDTF">2013-12-23T23:15:00Z</dcterms:created>
  <dcterms:modified xsi:type="dcterms:W3CDTF">2026-10-01T03:48:02Z</dcterms:modified>
  <cp:category/>
</cp:coreProperties>
</file>