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lang w:val="kk-KZ" w:eastAsia="en-US"/>
        </w:rPr>
      </w:pPr>
      <w:r>
        <w:rPr>
          <w:b/>
          <w:lang w:val="kk-KZ" w:eastAsia="en-US"/>
        </w:rPr>
        <w:t xml:space="preserve">Сатып алынатын тауарлардың, жұмыстардың, көрсетілетін қызметтердің техникалық ерекшелігі</w:t>
      </w:r>
      <w:r/>
    </w:p>
    <w:p>
      <w:pPr>
        <w:jc w:val="center"/>
        <w:rPr>
          <w:b/>
          <w:lang w:val="kk-KZ" w:eastAsia="en-US"/>
        </w:rPr>
      </w:pPr>
      <w:r>
        <w:rPr>
          <w:b/>
          <w:lang w:val="kk-KZ" w:eastAsia="en-US"/>
        </w:rPr>
      </w:r>
      <w:r/>
    </w:p>
    <w:p>
      <w:pPr>
        <w:rPr>
          <w:lang w:val="kk-KZ" w:eastAsia="en-US"/>
        </w:rPr>
      </w:pPr>
      <w:r>
        <w:rPr>
          <w:b/>
          <w:lang w:val="kk-KZ" w:eastAsia="en-US"/>
        </w:rPr>
        <w:t xml:space="preserve">Тапсырыс берушінің атауы: </w:t>
      </w:r>
      <w:r>
        <w:rPr>
          <w:lang w:val="kk-KZ" w:eastAsia="en-US"/>
        </w:rPr>
        <w:t xml:space="preserve">"Нұрсұлтан Назарбаев халықаралық әуежайы"АҚ</w:t>
      </w:r>
      <w:r/>
    </w:p>
    <w:p>
      <w:pPr>
        <w:jc w:val="both"/>
        <w:rPr>
          <w:lang w:val="en-US" w:eastAsia="en-US"/>
        </w:rPr>
      </w:pPr>
      <w:r>
        <w:rPr>
          <w:b/>
          <w:lang w:val="kk-KZ" w:eastAsia="en-US"/>
        </w:rPr>
        <w:t xml:space="preserve">Лоттың атауы: </w:t>
      </w:r>
      <w:r>
        <w:rPr>
          <w:rFonts w:ascii="Times New Roman" w:hAnsi="Times New Roman" w:cs="Times New Roman" w:eastAsia="Times New Roman"/>
          <w:b/>
          <w:color w:val="000000"/>
          <w:sz w:val="24"/>
          <w:highlight w:val="white"/>
        </w:rPr>
        <w:t xml:space="preserve">Кызметкерлерді оқыту қызметтері                                    </w:t>
      </w:r>
      <w:r>
        <w:rPr>
          <w:b/>
          <w:lang w:val="kk-KZ" w:eastAsia="en-US"/>
        </w:rPr>
      </w:r>
      <w:r/>
    </w:p>
    <w:p>
      <w:pPr>
        <w:jc w:val="both"/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</w:r>
      <w:r/>
    </w:p>
    <w:tbl>
      <w:tblPr>
        <w:tblStyle w:val="685"/>
        <w:tblW w:w="11055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4252"/>
        <w:gridCol w:w="6803"/>
      </w:tblGrid>
      <w:tr>
        <w:trPr>
          <w:trHeight w:val="469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532" w:firstLine="0"/>
              <w:spacing w:before="2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Тауардың,жумыстардың және көрсетілетін қызметтердің бірыңғай номенклатуралық анықтамалығы кодынын атауы</w:t>
            </w:r>
            <w:r/>
          </w:p>
        </w:tc>
        <w:tc>
          <w:tcPr>
            <w:tcW w:w="680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135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135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841311.000.000001</w:t>
            </w:r>
            <w:r/>
          </w:p>
        </w:tc>
      </w:tr>
      <w:tr>
        <w:trPr>
          <w:trHeight w:val="227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0" w:firstLine="0"/>
              <w:spacing w:before="4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Қызмeт aтayы *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0" w:right="0" w:firstLine="147"/>
              <w:jc w:val="both"/>
              <w:spacing w:before="4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Қызметкерлерді оқыту қызметтері</w:t>
            </w:r>
            <w:r/>
          </w:p>
        </w:tc>
      </w:tr>
      <w:tr>
        <w:trPr>
          <w:trHeight w:val="227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0" w:firstLine="0"/>
              <w:spacing w:before="5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Өлшeм бірлігі *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0" w:right="0" w:firstLine="147"/>
              <w:jc w:val="both"/>
              <w:spacing w:before="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Қызмет</w:t>
            </w:r>
            <w:r/>
          </w:p>
        </w:tc>
      </w:tr>
      <w:tr>
        <w:trPr>
          <w:trHeight w:val="227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0" w:firstLine="0"/>
              <w:spacing w:before="7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Caны (көлемі)*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0" w:right="0" w:firstLine="167"/>
              <w:jc w:val="both"/>
              <w:spacing w:before="2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7</w:t>
            </w:r>
            <w:r/>
          </w:p>
        </w:tc>
      </w:tr>
      <w:tr>
        <w:trPr>
          <w:trHeight w:val="227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0" w:firstLine="0"/>
              <w:spacing w:before="32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Қызмет көрсету орны *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0" w:right="0" w:firstLine="127"/>
              <w:spacing w:before="12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Авиациялық оқыту орталықтары</w:t>
            </w:r>
            <w:r/>
          </w:p>
        </w:tc>
      </w:tr>
      <w:tr>
        <w:trPr>
          <w:trHeight w:val="358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172" w:firstLine="0"/>
              <w:spacing w:before="15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Сатып алынатын қызметтерге ұлттық/мемлекетаралық стандарттардың атауы. 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7" w:right="0" w:firstLine="0"/>
              <w:spacing w:before="15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ҚP CT ISO/IEC 17024-2012 ",ҚP CT 1351-2005 ж. (ISO 10015:1999, MOD)</w:t>
            </w:r>
            <w:r/>
          </w:p>
        </w:tc>
      </w:tr>
      <w:tr>
        <w:trPr>
          <w:trHeight w:val="571"/>
        </w:trPr>
        <w:tc>
          <w:tcPr>
            <w:tcW w:w="4252" w:type="dxa"/>
            <w:textDirection w:val="lrTb"/>
            <w:noWrap w:val="false"/>
          </w:tcPr>
          <w:p>
            <w:pPr>
              <w:ind w:left="0" w:right="0" w:firstLine="0"/>
              <w:spacing w:before="1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Кепілдік мерзімі ( айларда)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0" w:right="0" w:firstLine="127"/>
              <w:spacing w:before="26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24 aйдан кeм eмec</w:t>
            </w:r>
            <w:r/>
          </w:p>
        </w:tc>
      </w:tr>
      <w:tr>
        <w:trPr>
          <w:trHeight w:val="227"/>
        </w:trPr>
        <w:tc>
          <w:tcPr>
            <w:tcW w:w="4252" w:type="dxa"/>
            <w:textDirection w:val="lrTb"/>
            <w:noWrap w:val="false"/>
          </w:tcPr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140" w:right="172" w:firstLine="2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0" w:right="172" w:firstLine="0"/>
              <w:spacing w:before="7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Қажетті сипаттамалардың, параметрлердің және басқа да бастапқы деректердің сипаттамасы</w:t>
            </w:r>
            <w:r/>
          </w:p>
        </w:tc>
        <w:tc>
          <w:tcPr>
            <w:tcW w:w="6803" w:type="dxa"/>
            <w:textDirection w:val="lrTb"/>
            <w:noWrap w:val="false"/>
          </w:tcPr>
          <w:p>
            <w:pPr>
              <w:ind w:left="127" w:right="100" w:firstLine="20"/>
              <w:spacing w:before="1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Атауы: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 «МАНН» АҚ ОҚК қызметі зертханасының мамандарына семинар түрінде консультациялық-ақпараттық қызметтеp көpceтy: ОҚК зертханасының жұмысын ұйымдастыру, ЖЖМ қолдану бөлігінде ұшу қауіпсіздігін қамтамасыз eтy мақсатында авиаЖЖМ сапасын бақылау мынадай мәселеле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р бойынша:</w:t>
            </w:r>
            <w:r/>
          </w:p>
          <w:p>
            <w:pPr>
              <w:ind w:left="127" w:right="100" w:firstLine="20"/>
              <w:spacing w:before="1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ОҚК зертханасының жұмысын және авиа-ЖЖМ сапасын бақылауды ұйымдастыру;</w:t>
            </w:r>
            <w:r/>
          </w:p>
          <w:p>
            <w:pPr>
              <w:ind w:left="127" w:right="100" w:firstLine="20"/>
              <w:spacing w:before="11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- авиатехникада түрлі маркалы авиа-ЖЖМ қолдану;    </w:t>
            </w:r>
            <w:r/>
          </w:p>
          <w:p>
            <w:pPr>
              <w:ind w:left="104" w:right="420" w:firstLine="20"/>
              <w:jc w:val="both"/>
              <w:spacing w:before="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 AА кәсіпорындарындағы штаттан тыс жағдайларды және кондициялық емес авиа-ЖЖМ түсу жағдайларын тaлдау:</w:t>
            </w:r>
            <w:r/>
          </w:p>
          <w:p>
            <w:pPr>
              <w:ind w:left="124" w:right="200" w:firstLine="0"/>
              <w:jc w:val="both"/>
              <w:spacing w:before="13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 шарт мәні бойынша жаңа нормативтік құжаттармен тaныcy;</w:t>
            </w:r>
            <w:r/>
          </w:p>
          <w:p>
            <w:pPr>
              <w:ind w:left="124" w:right="1000" w:firstLine="20"/>
              <w:jc w:val="both"/>
              <w:spacing w:before="7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 мұнай өнімдерін сынаудың жаңа аспаптары мен әдістерін таныстыру және игеру;</w:t>
            </w:r>
            <w:r/>
          </w:p>
          <w:p>
            <w:pPr>
              <w:ind w:left="124" w:right="1440" w:firstLine="20"/>
              <w:jc w:val="both"/>
              <w:spacing w:before="27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 авиа-ЖЖМ талдауларын орындау бойынша практикалық жұмыстар жүргiзу;</w:t>
            </w:r>
            <w:r/>
          </w:p>
          <w:p>
            <w:pPr>
              <w:ind w:left="124" w:right="180" w:firstLine="0"/>
              <w:jc w:val="both"/>
              <w:spacing w:before="3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Әуежайдың ОҚК қызметі зертханасының</w:t>
            </w:r>
            <w:r/>
          </w:p>
          <w:p>
            <w:pPr>
              <w:ind w:left="0" w:right="18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персоналын оқыту (окыту/білтіктілігін арттыру)  жөніндегі қызмет (7 қызметкер үшін) авиациалық оқу орталықтарының сынақ  зертханасының базасында 5 (бес) жұмыс күні ішінде жургізілуге тиіс.</w:t>
            </w:r>
            <w:r/>
          </w:p>
          <w:p>
            <w:pPr>
              <w:ind w:left="0" w:right="0" w:firstLine="20"/>
              <w:jc w:val="both"/>
              <w:spacing w:before="24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Оқу аяқталғаннан және келесі емтихандарды өткізгеннен кейін оқу ұйымы әрбір тыңдаушыға осы оқу бағдарламасынан өткені туралы куәлік рәсімдеуі жəне бeруі тиіс. </w:t>
            </w:r>
            <w:r/>
          </w:p>
          <w:tbl>
            <w:tblPr>
              <w:tblStyle w:val="685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autofit"/>
              <w:tblLook w:val="04A0" w:firstRow="1" w:lastRow="0" w:firstColumn="1" w:lastColumn="0" w:noHBand="0" w:noVBand="1"/>
            </w:tblPr>
            <w:tblGrid>
              <w:gridCol w:w="961"/>
            </w:tblGrid>
            <w:tr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Mar>
                    <w:left w:w="0" w:type="dxa"/>
                    <w:top w:w="0" w:type="dxa"/>
                    <w:right w:w="0" w:type="dxa"/>
                    <w:bottom w:w="0" w:type="dxa"/>
                  </w:tcMar>
                  <w:tcW w:w="961" w:type="dxa"/>
                  <w:vAlign w:val="center"/>
                  <w:textDirection w:val="lrTb"/>
                  <w:noWrap w:val="false"/>
                </w:tcPr>
                <w:p>
                  <w:pPr>
                    <w:ind w:left="0" w:right="0" w:firstLine="0"/>
                    <w:jc w:val="both"/>
                    <w:spacing w:before="23" w:after="0" w:line="60" w:lineRule="atLeast"/>
                    <w:pBdr>
                      <w:top w:val="none" w:color="000000" w:sz="4" w:space="0"/>
                      <w:left w:val="none" w:color="000000" w:sz="4" w:space="0"/>
                      <w:bottom w:val="none" w:color="000000" w:sz="4" w:space="0"/>
                      <w:right w:val="none" w:color="000000" w:sz="4" w:space="0"/>
                    </w:pBdr>
                  </w:pPr>
                  <w:r>
                    <w:rPr>
                      <w:rFonts w:ascii="Calibri" w:hAnsi="Calibri" w:cs="Calibri" w:eastAsia="Calibri"/>
                      <w:color w:val="000000"/>
                      <w:sz w:val="23"/>
                    </w:rPr>
                    <w:t xml:space="preserve"> </w:t>
                  </w:r>
                  <w:r/>
                </w:p>
              </w:tc>
            </w:tr>
          </w:tbl>
          <w:p>
            <w:pPr>
              <w:ind w:left="0" w:right="0" w:firstLine="0"/>
              <w:spacing w:before="23" w:after="0" w:line="6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Әуежайдың ОҚК қызметі зертханасының персоналын оқыту (оқыту/біліктілігін арттыру) жөніндегі қызметті азаматтық авиация саласында осы қызметті жүзеге асыру құқығына сертификаты бар ұйымдар (оқу орталыктары) жүргізуі тиiс.</w:t>
            </w:r>
            <w:r/>
            <w:r/>
            <w:r/>
            <w:r>
              <w:rPr>
                <w:rFonts w:ascii="Calibri" w:hAnsi="Calibri" w:cs="Calibri" w:eastAsia="Calibri"/>
                <w:sz w:val="22"/>
              </w:rPr>
            </w:r>
          </w:p>
        </w:tc>
      </w:tr>
    </w:tbl>
    <w:p>
      <w:pPr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</w:r>
      <w:r/>
    </w:p>
    <w:p>
      <w:pPr>
        <w:spacing w:after="160" w:line="259" w:lineRule="auto"/>
        <w:rPr>
          <w:rFonts w:eastAsiaTheme="minorHAnsi"/>
          <w:lang w:val="kk-KZ" w:eastAsia="en-US"/>
        </w:rPr>
      </w:pPr>
      <w:r>
        <w:rPr>
          <w:rFonts w:eastAsiaTheme="minorHAnsi"/>
          <w:lang w:val="kk-KZ" w:eastAsia="en-US"/>
        </w:rPr>
        <w:br w:type="page" w:clear="all"/>
      </w:r>
      <w:bookmarkStart w:id="0" w:name="_GoBack"/>
      <w:r/>
      <w:bookmarkEnd w:id="0"/>
      <w:r/>
      <w:r/>
    </w:p>
    <w:p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val="kk-KZ" w:eastAsia="en-US"/>
        </w:rPr>
        <w:t xml:space="preserve">Т</w:t>
      </w:r>
      <w:r>
        <w:rPr>
          <w:rFonts w:eastAsiaTheme="minorHAnsi"/>
          <w:b/>
          <w:lang w:eastAsia="en-US"/>
        </w:rPr>
        <w:t xml:space="preserve">ехническ</w:t>
      </w:r>
      <w:r>
        <w:rPr>
          <w:rFonts w:eastAsiaTheme="minorHAnsi"/>
          <w:b/>
          <w:lang w:val="kk-KZ" w:eastAsia="en-US"/>
        </w:rPr>
        <w:t xml:space="preserve">ая</w:t>
      </w:r>
      <w:r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спецификаци</w:t>
      </w:r>
      <w:r>
        <w:rPr>
          <w:rFonts w:eastAsiaTheme="minorHAnsi"/>
          <w:b/>
          <w:lang w:val="kk-KZ" w:eastAsia="en-US"/>
        </w:rPr>
        <w:t xml:space="preserve">я</w:t>
      </w:r>
      <w:r>
        <w:rPr>
          <w:rFonts w:eastAsiaTheme="minorHAnsi"/>
          <w:b/>
          <w:lang w:eastAsia="en-US"/>
        </w:rPr>
        <w:t xml:space="preserve"> закупаемых товаров</w:t>
      </w:r>
      <w:r>
        <w:rPr>
          <w:rFonts w:eastAsiaTheme="minorHAnsi"/>
          <w:b/>
          <w:lang w:eastAsia="en-US"/>
        </w:rPr>
        <w:t xml:space="preserve">, работ, услуг</w:t>
      </w:r>
      <w:r/>
    </w:p>
    <w:p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</w:r>
      <w:r/>
    </w:p>
    <w:p>
      <w:pPr>
        <w:ind w:right="-117"/>
        <w:jc w:val="both"/>
      </w:pPr>
      <w:r>
        <w:rPr>
          <w:rFonts w:eastAsiaTheme="minorHAnsi"/>
          <w:b/>
          <w:lang w:eastAsia="en-US"/>
        </w:rPr>
        <w:t xml:space="preserve">Наименование заказчика</w:t>
      </w:r>
      <w:r>
        <w:rPr>
          <w:rFonts w:eastAsiaTheme="minorHAnsi"/>
          <w:lang w:eastAsia="en-US"/>
        </w:rPr>
        <w:t xml:space="preserve">: </w:t>
      </w:r>
      <w:r>
        <w:t xml:space="preserve">АО </w:t>
      </w:r>
      <w:r>
        <w:t xml:space="preserve">«Международный аэропорт Нурсултан Назарбаев»</w:t>
      </w:r>
      <w:r/>
    </w:p>
    <w:p>
      <w:pPr>
        <w:jc w:val="both"/>
        <w:rPr>
          <w:rFonts w:cs="Arial"/>
          <w:color w:val="000000"/>
          <w:lang w:val="en-US"/>
        </w:rPr>
      </w:pPr>
      <w:r>
        <w:rPr>
          <w:rFonts w:eastAsiaTheme="minorHAnsi"/>
          <w:b/>
          <w:lang w:eastAsia="en-US"/>
        </w:rPr>
        <w:t xml:space="preserve">Наименование лота</w:t>
      </w:r>
      <w:r>
        <w:rPr>
          <w:rFonts w:eastAsiaTheme="minorHAnsi"/>
          <w:lang w:eastAsia="en-US"/>
        </w:rPr>
        <w:t xml:space="preserve">:</w:t>
      </w:r>
      <w:r>
        <w:rPr>
          <w:rFonts w:cs="Arial"/>
          <w:b/>
          <w:color w:val="000000"/>
        </w:rPr>
        <w:t xml:space="preserve"> </w:t>
      </w:r>
      <w:r>
        <w:rPr>
          <w:rFonts w:cs="Arial"/>
          <w:color w:val="000000"/>
        </w:rPr>
      </w:r>
      <w:r/>
      <w:r>
        <w:rPr>
          <w:rFonts w:ascii="Times New Roman" w:hAnsi="Times New Roman" w:cs="Times New Roman" w:eastAsia="Times New Roman"/>
          <w:color w:val="000000"/>
          <w:sz w:val="24"/>
        </w:rPr>
        <w:t xml:space="preserve">Услуги по обучению персонала/сотрудников</w:t>
      </w:r>
      <w:r/>
      <w:r>
        <w:rPr>
          <w:rFonts w:cs="Arial"/>
          <w:color w:val="000000"/>
          <w:lang w:val="en-US"/>
        </w:rPr>
      </w:r>
    </w:p>
    <w:p>
      <w:pPr>
        <w:jc w:val="both"/>
        <w:rPr>
          <w:color w:val="212529"/>
        </w:rPr>
      </w:pPr>
      <w:r>
        <w:rPr>
          <w:color w:val="212529"/>
        </w:rPr>
      </w:r>
      <w:r/>
    </w:p>
    <w:tbl>
      <w:tblPr>
        <w:tblStyle w:val="685"/>
        <w:tblW w:w="11055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3969"/>
        <w:gridCol w:w="7087"/>
      </w:tblGrid>
      <w:tr>
        <w:trPr>
          <w:trHeight w:val="469"/>
        </w:trPr>
        <w:tc>
          <w:tcPr>
            <w:tcW w:w="396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Наименование кода Единого номенклатурного справочника товаров, работ, услуг*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0"/>
              <w:spacing w:before="0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  <w:p>
            <w:pPr>
              <w:ind w:left="0" w:right="0" w:firstLine="2104"/>
              <w:spacing w:before="8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841311.000.000001</w:t>
            </w:r>
            <w:r/>
          </w:p>
        </w:tc>
      </w:tr>
      <w:tr>
        <w:trPr>
          <w:trHeight w:val="227"/>
        </w:trPr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Наименование товара*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164"/>
              <w:spacing w:before="20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Услуги по обучению персонала/сотрудников</w:t>
            </w:r>
            <w:r/>
          </w:p>
        </w:tc>
      </w:tr>
      <w:tr>
        <w:trPr>
          <w:trHeight w:val="227"/>
        </w:trPr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Единица измерения*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144"/>
              <w:spacing w:before="20" w:after="0" w:line="54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услуга</w:t>
            </w:r>
            <w:r/>
          </w:p>
        </w:tc>
      </w:tr>
      <w:tr>
        <w:trPr>
          <w:trHeight w:val="227"/>
        </w:trPr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Количество (объем)*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164"/>
              <w:spacing w:before="24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7</w:t>
            </w:r>
            <w:r/>
          </w:p>
        </w:tc>
      </w:tr>
      <w:tr>
        <w:trPr>
          <w:trHeight w:val="227"/>
        </w:trPr>
        <w:tc>
          <w:tcPr>
            <w:tcW w:w="396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Mecтo оказания услуги*</w:t>
            </w:r>
            <w:r>
              <w:rPr>
                <w:rFonts w:eastAsiaTheme="minorHAnsi"/>
                <w:lang w:eastAsia="en-US"/>
              </w:rPr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124"/>
              <w:spacing w:before="0" w:after="0" w:line="54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Авиационные отраслевые учебные центры</w:t>
            </w:r>
            <w:r/>
          </w:p>
        </w:tc>
      </w:tr>
      <w:tr>
        <w:trPr>
          <w:trHeight w:val="571"/>
        </w:trPr>
        <w:tc>
          <w:tcPr>
            <w:tcW w:w="3969" w:type="dxa"/>
            <w:textDirection w:val="lrTb"/>
            <w:noWrap w:val="false"/>
          </w:tcPr>
          <w:p>
            <w:pPr>
              <w:ind w:left="0" w:right="155" w:firstLine="0"/>
              <w:spacing w:before="20" w:after="0" w:line="54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Наименованиe национальных стандартов, а в случае их отсутствия, межгосударственных стандартов на закупаемые услуги.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84" w:right="40" w:firstLine="60"/>
              <w:jc w:val="both"/>
              <w:spacing w:before="20" w:after="0" w:line="54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CT PK ISO/IEC 17024-2012 CT PK 1351-2005 г. </w:t>
            </w:r>
            <w:r>
              <w:rPr>
                <w:sz w:val="22"/>
              </w:rPr>
            </w:r>
            <w:r/>
          </w:p>
          <w:p>
            <w:pPr>
              <w:ind w:left="0" w:right="0" w:firstLine="124"/>
              <w:spacing w:before="4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(ISO 10015:1999, MOD) </w:t>
            </w:r>
            <w:r/>
            <w:r/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</w:r>
            <w:r/>
            <w:r>
              <w:rPr>
                <w:sz w:val="22"/>
              </w:rPr>
            </w:r>
          </w:p>
        </w:tc>
      </w:tr>
      <w:tr>
        <w:trPr>
          <w:trHeight w:val="227"/>
        </w:trPr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Гарантийный срок (в месяцах)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0" w:right="0" w:firstLine="124"/>
              <w:spacing w:before="4" w:after="0" w:line="50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He мeнee 24</w:t>
            </w:r>
            <w:r>
              <w:rPr>
                <w:sz w:val="22"/>
              </w:rPr>
            </w:r>
            <w:r/>
          </w:p>
          <w:p>
            <w:pPr>
              <w:pStyle w:val="70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  <w:tr>
        <w:trPr>
          <w:trHeight w:val="1798"/>
        </w:trPr>
        <w:tc>
          <w:tcPr>
            <w:tcW w:w="3969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Описание требуемых функциональных, технических, качественных, эксплуатационных и иных характеристик закупаемого товара </w:t>
            </w:r>
            <w:r/>
          </w:p>
        </w:tc>
        <w:tc>
          <w:tcPr>
            <w:tcW w:w="7087" w:type="dxa"/>
            <w:textDirection w:val="lrTb"/>
            <w:noWrap w:val="false"/>
          </w:tcPr>
          <w:p>
            <w:pPr>
              <w:ind w:left="124" w:right="140" w:firstLine="20"/>
              <w:jc w:val="both"/>
              <w:spacing w:before="20" w:after="0" w:line="53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Наименование: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 оказание консультационно-информационных услуг специалистам лаборатории cлужбы ТЗК АО «МАНН» в виде семинара: «Организация работы лаборатории ТЗК, контроля качества авиаГСМ с целью обеспечения безопасности полетов в части применения ГСМ» по следующим вопро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сам:</w:t>
            </w:r>
            <w:r>
              <w:rPr>
                <w:sz w:val="22"/>
              </w:rPr>
            </w:r>
            <w:r/>
          </w:p>
          <w:p>
            <w:pPr>
              <w:ind w:left="120" w:right="140" w:firstLine="4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  организация работы лаборатории ТЗК и контроля качества авиа-ГCM;</w:t>
            </w:r>
            <w:r>
              <w:rPr>
                <w:sz w:val="22"/>
              </w:rPr>
            </w:r>
            <w:r/>
          </w:p>
          <w:p>
            <w:pPr>
              <w:ind w:left="120" w:right="160" w:firstLine="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  применение авиа-ГСМ различных марок на авиатехнике;</w:t>
            </w:r>
            <w:r>
              <w:rPr>
                <w:sz w:val="22"/>
              </w:rPr>
            </w:r>
            <w:r/>
          </w:p>
          <w:p>
            <w:pPr>
              <w:ind w:left="80" w:right="20" w:firstLine="2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   анализ нештатных ситуаций в предприятиях ГA и случаев поступления некондиционных авиа-ГCM;     </w:t>
            </w:r>
            <w:r>
              <w:rPr>
                <w:sz w:val="22"/>
              </w:rPr>
            </w:r>
            <w:r/>
          </w:p>
          <w:p>
            <w:pPr>
              <w:ind w:left="80" w:right="20" w:firstLine="2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   ознакомление с новыми нормативными документами по предмету договора;</w:t>
            </w:r>
            <w:r>
              <w:rPr>
                <w:sz w:val="22"/>
              </w:rPr>
            </w:r>
            <w:r/>
          </w:p>
          <w:p>
            <w:pPr>
              <w:ind w:left="140" w:right="160" w:firstLine="2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  ознакомление и освоение новых приборов и методов испытания нефтепродуктов;</w:t>
            </w:r>
            <w:r>
              <w:rPr>
                <w:sz w:val="22"/>
              </w:rPr>
            </w:r>
            <w:r/>
          </w:p>
          <w:p>
            <w:pPr>
              <w:ind w:left="140" w:right="180" w:firstLine="0"/>
              <w:jc w:val="both"/>
              <w:spacing w:before="0" w:after="0" w:line="51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- проведение практических работ по выполнению анализов авиа-ГСМ.</w:t>
            </w:r>
            <w:r>
              <w:rPr>
                <w:sz w:val="22"/>
              </w:rPr>
            </w:r>
            <w:r/>
          </w:p>
          <w:p>
            <w:pPr>
              <w:ind w:left="120" w:right="160" w:firstLine="2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Услуга по обучению (обучению/повышению квалификации) персонала лаборатории Службы ТЗК аэропорта (для 7-х сотрудников) должна быть проведена на базе испытательной лаборатории авиационных учебных центров в течении 5 (пяти) рабочих дней.</w:t>
            </w:r>
            <w:r>
              <w:rPr>
                <w:sz w:val="22"/>
              </w:rPr>
            </w:r>
            <w:r/>
          </w:p>
          <w:p>
            <w:pPr>
              <w:ind w:left="120" w:right="160" w:firstLine="20"/>
              <w:jc w:val="both"/>
              <w:spacing w:before="0" w:after="0" w:line="56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  По завершении обучения и проведения последующих экзаменов, учебная организация должна оформить и выдать каждому слушателю Удостоверение о прохождении данной учебной программы.</w:t>
            </w:r>
            <w:r>
              <w:rPr>
                <w:sz w:val="22"/>
              </w:rPr>
            </w:r>
            <w:r/>
          </w:p>
          <w:p>
            <w:pPr>
              <w:ind w:left="140" w:right="180" w:firstLine="0"/>
              <w:jc w:val="both"/>
              <w:spacing w:before="0" w:after="0" w:line="51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  Уcлyгa по обучению (обучению/повышению квалификации) персонала лаборатории Службы ТЗК аэропорта  должна проводиться организациями (учебными центрами), имеющими сертификат на право осуществлять данную деятельность в сфере гражданской авиации.</w:t>
            </w:r>
            <w:r>
              <w:rPr>
                <w:sz w:val="22"/>
              </w:rPr>
            </w:r>
            <w:r/>
          </w:p>
          <w:p>
            <w:pPr>
              <w:pStyle w:val="707"/>
              <w:spacing w:before="0" w:beforeAutospacing="0" w:after="0" w:afterAutospacing="0" w:line="285" w:lineRule="atLeast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r>
            <w:r/>
          </w:p>
        </w:tc>
      </w:tr>
    </w:tbl>
    <w:p>
      <w:pPr>
        <w:pStyle w:val="69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701" w:header="709" w:footer="709" w:gutter="0"/>
      <w:cols w:num="1" w:sep="0" w:space="708" w:equalWidth="1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Разработал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04.05.2026 11:10 Имангожина Гульзада Сайдалыевна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04.05.2026 12:26 Кушкинов Сарсенбек Михаилович - 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04.05.2026 15:07 Нугуманов Ильяс Муратович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12820051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692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  <w:fldChar w:fldCharType="end"/>
            </w:r>
            <w:r/>
          </w:p>
        </w:sdtContent>
      </w:sdt>
    </w:sdtContent>
  </w:sdt>
  <w:p>
    <w:pPr>
      <w:pStyle w:val="692"/>
    </w:pPr>
    <w:r/>
    <w:r/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Техническая спецификация закупаемых товаров, работ, услуг № ПР-9067 от 30.04.2026.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cs="Times New Roman" w:eastAsiaTheme="minorHAns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82"/>
    <w:link w:val="680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82"/>
    <w:link w:val="681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79"/>
    <w:next w:val="67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82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79"/>
    <w:next w:val="67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82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79"/>
    <w:next w:val="679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82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79"/>
    <w:next w:val="67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82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79"/>
    <w:next w:val="67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82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79"/>
    <w:next w:val="67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82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79"/>
    <w:next w:val="67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82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679"/>
    <w:next w:val="679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82"/>
    <w:link w:val="32"/>
    <w:uiPriority w:val="10"/>
    <w:rPr>
      <w:sz w:val="48"/>
      <w:szCs w:val="48"/>
    </w:rPr>
  </w:style>
  <w:style w:type="paragraph" w:styleId="34">
    <w:name w:val="Subtitle"/>
    <w:basedOn w:val="679"/>
    <w:next w:val="67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82"/>
    <w:link w:val="34"/>
    <w:uiPriority w:val="11"/>
    <w:rPr>
      <w:sz w:val="24"/>
      <w:szCs w:val="24"/>
    </w:rPr>
  </w:style>
  <w:style w:type="paragraph" w:styleId="36">
    <w:name w:val="Quote"/>
    <w:basedOn w:val="679"/>
    <w:next w:val="67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79"/>
    <w:next w:val="67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82"/>
    <w:link w:val="690"/>
    <w:uiPriority w:val="99"/>
  </w:style>
  <w:style w:type="character" w:styleId="43">
    <w:name w:val="Footer Char"/>
    <w:basedOn w:val="682"/>
    <w:link w:val="692"/>
    <w:uiPriority w:val="99"/>
  </w:style>
  <w:style w:type="paragraph" w:styleId="4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692"/>
    <w:uiPriority w:val="99"/>
  </w:style>
  <w:style w:type="table" w:styleId="47">
    <w:name w:val="Table Grid Light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3">
    <w:name w:val="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4">
    <w:name w:val="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5">
    <w:name w:val="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6">
    <w:name w:val="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7">
    <w:name w:val="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8">
    <w:name w:val="Bordered &amp; Lined - Accent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0">
    <w:name w:val="Bordered &amp; Lined - Accent 2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1">
    <w:name w:val="Bordered &amp; Lined - Accent 3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2">
    <w:name w:val="Bordered &amp; Lined - Accent 4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3">
    <w:name w:val="Bordered &amp; Lined - Accent 5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4">
    <w:name w:val="Bordered &amp; Lined - Accent 6"/>
    <w:basedOn w:val="6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5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7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82"/>
    <w:uiPriority w:val="99"/>
    <w:unhideWhenUsed/>
    <w:rPr>
      <w:vertAlign w:val="superscript"/>
    </w:rPr>
  </w:style>
  <w:style w:type="paragraph" w:styleId="176">
    <w:name w:val="endnote text"/>
    <w:basedOn w:val="67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82"/>
    <w:uiPriority w:val="99"/>
    <w:semiHidden/>
    <w:unhideWhenUsed/>
    <w:rPr>
      <w:vertAlign w:val="superscript"/>
    </w:rPr>
  </w:style>
  <w:style w:type="paragraph" w:styleId="179">
    <w:name w:val="toc 1"/>
    <w:basedOn w:val="679"/>
    <w:next w:val="67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79"/>
    <w:next w:val="67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79"/>
    <w:next w:val="67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79"/>
    <w:next w:val="67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79"/>
    <w:next w:val="67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79"/>
    <w:next w:val="67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79"/>
    <w:next w:val="67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79"/>
    <w:next w:val="67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79"/>
    <w:next w:val="67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79"/>
    <w:next w:val="679"/>
    <w:uiPriority w:val="99"/>
    <w:unhideWhenUsed/>
    <w:pPr>
      <w:spacing w:after="0" w:afterAutospacing="0"/>
    </w:pPr>
  </w:style>
  <w:style w:type="paragraph" w:styleId="67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80">
    <w:name w:val="Heading 1"/>
    <w:basedOn w:val="679"/>
    <w:link w:val="69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681">
    <w:name w:val="Heading 2"/>
    <w:basedOn w:val="679"/>
    <w:link w:val="70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table" w:styleId="685">
    <w:name w:val="Table Grid"/>
    <w:basedOn w:val="683"/>
    <w:uiPriority w:val="59"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6">
    <w:name w:val="No Spacing"/>
    <w:uiPriority w:val="1"/>
    <w:qFormat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87">
    <w:name w:val="Balloon Text"/>
    <w:basedOn w:val="679"/>
    <w:link w:val="68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688" w:customStyle="1">
    <w:name w:val="Текст выноски Знак"/>
    <w:basedOn w:val="682"/>
    <w:link w:val="687"/>
    <w:uiPriority w:val="99"/>
    <w:semiHidden/>
    <w:rPr>
      <w:rFonts w:ascii="Segoe UI" w:hAnsi="Segoe UI" w:cs="Segoe UI" w:eastAsia="Times New Roman"/>
      <w:sz w:val="18"/>
      <w:szCs w:val="18"/>
      <w:lang w:eastAsia="ru-RU"/>
    </w:rPr>
  </w:style>
  <w:style w:type="paragraph" w:styleId="689">
    <w:name w:val="List Paragraph"/>
    <w:basedOn w:val="679"/>
    <w:uiPriority w:val="34"/>
    <w:qFormat/>
    <w:pPr>
      <w:contextualSpacing/>
      <w:ind w:left="720"/>
    </w:pPr>
  </w:style>
  <w:style w:type="paragraph" w:styleId="690">
    <w:name w:val="Header"/>
    <w:basedOn w:val="679"/>
    <w:link w:val="6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91" w:customStyle="1">
    <w:name w:val="Верхний колонтитул Знак"/>
    <w:basedOn w:val="682"/>
    <w:link w:val="690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paragraph" w:styleId="692">
    <w:name w:val="Footer"/>
    <w:basedOn w:val="679"/>
    <w:link w:val="6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93" w:customStyle="1">
    <w:name w:val="Нижний колонтитул Знак"/>
    <w:basedOn w:val="682"/>
    <w:link w:val="692"/>
    <w:uiPriority w:val="99"/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694">
    <w:name w:val="Hyperlink"/>
    <w:basedOn w:val="682"/>
    <w:uiPriority w:val="99"/>
    <w:semiHidden/>
    <w:unhideWhenUsed/>
    <w:rPr>
      <w:color w:val="0000FF"/>
      <w:u w:val="single"/>
    </w:rPr>
  </w:style>
  <w:style w:type="paragraph" w:styleId="695" w:customStyle="1">
    <w:name w:val="Обычный1"/>
    <w:qFormat/>
    <w:pPr>
      <w:spacing w:after="0" w:line="276" w:lineRule="auto"/>
    </w:pPr>
    <w:rPr>
      <w:rFonts w:ascii="Arial" w:hAnsi="Arial" w:cs="Arial" w:eastAsia="Arial"/>
      <w:color w:val="000000"/>
      <w:sz w:val="20"/>
      <w:lang w:eastAsia="ru-RU"/>
    </w:rPr>
  </w:style>
  <w:style w:type="paragraph" w:styleId="696" w:customStyle="1">
    <w:name w:val="formattext"/>
    <w:basedOn w:val="679"/>
    <w:pPr>
      <w:spacing w:before="100" w:beforeAutospacing="1" w:after="100" w:afterAutospacing="1"/>
    </w:pPr>
  </w:style>
  <w:style w:type="paragraph" w:styleId="697" w:customStyle="1">
    <w:name w:val="headertext"/>
    <w:basedOn w:val="679"/>
    <w:pPr>
      <w:spacing w:before="100" w:beforeAutospacing="1" w:after="100" w:afterAutospacing="1"/>
    </w:pPr>
  </w:style>
  <w:style w:type="character" w:styleId="698" w:customStyle="1">
    <w:name w:val="s1"/>
    <w:rPr>
      <w:rFonts w:ascii="Times New Roman" w:hAnsi="Times New Roman" w:cs="Times New Roman" w:hint="default"/>
      <w:b/>
      <w:bCs/>
      <w:color w:val="000000"/>
    </w:rPr>
  </w:style>
  <w:style w:type="character" w:styleId="699" w:customStyle="1">
    <w:name w:val="Заголовок 1 Знак"/>
    <w:basedOn w:val="682"/>
    <w:link w:val="680"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</w:style>
  <w:style w:type="character" w:styleId="700" w:customStyle="1">
    <w:name w:val="Заголовок 2 Знак"/>
    <w:basedOn w:val="682"/>
    <w:link w:val="681"/>
    <w:uiPriority w:val="9"/>
    <w:rPr>
      <w:rFonts w:ascii="Times New Roman" w:hAnsi="Times New Roman" w:cs="Times New Roman" w:eastAsia="Times New Roman"/>
      <w:b/>
      <w:bCs/>
      <w:sz w:val="36"/>
      <w:szCs w:val="36"/>
      <w:lang w:eastAsia="ru-RU"/>
    </w:rPr>
  </w:style>
  <w:style w:type="paragraph" w:styleId="701" w:customStyle="1">
    <w:name w:val="pc"/>
    <w:basedOn w:val="679"/>
    <w:pPr>
      <w:spacing w:before="100" w:beforeAutospacing="1" w:after="100" w:afterAutospacing="1"/>
    </w:pPr>
  </w:style>
  <w:style w:type="character" w:styleId="702" w:customStyle="1">
    <w:name w:val="s0"/>
    <w:basedOn w:val="682"/>
  </w:style>
  <w:style w:type="paragraph" w:styleId="703" w:customStyle="1">
    <w:name w:val="pj"/>
    <w:basedOn w:val="679"/>
    <w:pPr>
      <w:spacing w:before="100" w:beforeAutospacing="1" w:after="100" w:afterAutospacing="1"/>
    </w:pPr>
  </w:style>
  <w:style w:type="character" w:styleId="704" w:customStyle="1">
    <w:name w:val="apple-converted-space"/>
    <w:basedOn w:val="682"/>
  </w:style>
  <w:style w:type="paragraph" w:styleId="705">
    <w:name w:val="Body Text"/>
    <w:basedOn w:val="679"/>
    <w:link w:val="706"/>
    <w:pPr>
      <w:jc w:val="center"/>
    </w:pPr>
    <w:rPr>
      <w:b/>
      <w:sz w:val="28"/>
      <w:szCs w:val="20"/>
    </w:rPr>
  </w:style>
  <w:style w:type="character" w:styleId="706" w:customStyle="1">
    <w:name w:val="Основной текст Знак"/>
    <w:basedOn w:val="682"/>
    <w:link w:val="705"/>
    <w:rPr>
      <w:rFonts w:ascii="Times New Roman" w:hAnsi="Times New Roman" w:cs="Times New Roman" w:eastAsia="Times New Roman"/>
      <w:b/>
      <w:sz w:val="28"/>
      <w:szCs w:val="20"/>
      <w:lang w:eastAsia="ru-RU"/>
    </w:rPr>
  </w:style>
  <w:style w:type="paragraph" w:styleId="707">
    <w:name w:val="Normal (Web)"/>
    <w:basedOn w:val="679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customXml" Target="../customXml/item1.xml"/><Relationship Id="rId992" Type="http://schemas.openxmlformats.org/officeDocument/2006/relationships/image" Target="media/image992.png"/></Relationships>
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4CEBE9BF-8B3F-4B6E-A9BF-83CBBBAA2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Еденов Суйеншибек Жандуллаевич</dc:creator>
  <cp:keywords/>
  <dc:description/>
  <cp:lastModifiedBy>Имангожина Гульзада Сайдалыевна</cp:lastModifiedBy>
  <cp:revision>8</cp:revision>
  <dcterms:created xsi:type="dcterms:W3CDTF">2024-05-23T11:37:00Z</dcterms:created>
  <dcterms:modified xsi:type="dcterms:W3CDTF">2026-04-30T11:01:32Z</dcterms:modified>
</cp:coreProperties>
</file>