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b/>
          <w:color w:val="000000"/>
          <w:sz w:val="24"/>
        </w:rPr>
        <w:t xml:space="preserve">Сатып алынатын  қызметтердің техникалық ерекшелігі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b/>
          <w:color w:val="000000"/>
          <w:sz w:val="24"/>
        </w:rPr>
        <w:t xml:space="preserve">Тапсырыс берушінің атауы: </w:t>
      </w:r>
      <w:r>
        <w:rPr>
          <w:rFonts w:ascii="Times New Roman" w:hAnsi="Times New Roman" w:cs="Times New Roman" w:eastAsia="Times New Roman"/>
          <w:color w:val="000000"/>
          <w:sz w:val="24"/>
        </w:rPr>
        <w:t xml:space="preserve">"Нұрсұлтан Назарбаев халықаралық әуежайы"АҚ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b/>
          <w:color w:val="000000"/>
          <w:sz w:val="24"/>
        </w:rPr>
        <w:t xml:space="preserve">Лот № __________________________________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b/>
          <w:color w:val="000000"/>
          <w:sz w:val="24"/>
        </w:rPr>
        <w:t xml:space="preserve">Лоттың атауы: </w:t>
      </w:r>
      <w:r>
        <w:rPr>
          <w:rFonts w:ascii="Times New Roman" w:hAnsi="Times New Roman" w:cs="Times New Roman" w:eastAsia="Times New Roman"/>
          <w:color w:val="000000"/>
          <w:sz w:val="24"/>
        </w:rPr>
        <w:t xml:space="preserve">__________________________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 </w:t>
      </w:r>
      <w:r/>
    </w:p>
    <w:tbl>
      <w:tblPr>
        <w:tblStyle w:val="8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401"/>
        <w:gridCol w:w="5670"/>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Тауардың, жұмыстардың және көрсетілетін қызметтердің бірыңғай номенклатуралық анықтамалығы кодының атауы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spacing w:before="0" w:after="0"/>
              <w:rPr>
                <w:color w:val="000000"/>
              </w:rPr>
              <w:pBdr>
                <w:top w:val="none" w:color="000000" w:sz="4" w:space="0"/>
                <w:left w:val="none" w:color="000000" w:sz="4" w:space="0"/>
                <w:bottom w:val="none" w:color="000000" w:sz="4" w:space="0"/>
                <w:right w:val="none" w:color="000000" w:sz="4" w:space="0"/>
              </w:pBdr>
            </w:pPr>
            <w:r>
              <w:rPr>
                <w:rFonts w:ascii="Arial" w:hAnsi="Arial" w:cs="Arial" w:eastAsia="Arial"/>
                <w:color w:val="000000" w:themeColor="text1"/>
                <w:sz w:val="21"/>
              </w:rPr>
              <w:t xml:space="preserve">749020.000.000018</w:t>
            </w:r>
            <w:r>
              <w:rPr>
                <w:color w:val="000000" w:themeColor="text1"/>
              </w:rPr>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Қызмет атауы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Азаматтық-құқықтық жауапкершілікті ерікті сақтандыру қызметтері</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Өлшем бірлігі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Қызмет</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Саны (көлемі)*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1 </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Жеткізу мерзімі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 </w:t>
            </w:r>
            <w:r>
              <w:rPr>
                <w:rFonts w:ascii="Times New Roman" w:hAnsi="Times New Roman" w:cs="Times New Roman" w:eastAsia="Times New Roman"/>
                <w:color w:val="000000"/>
                <w:sz w:val="24"/>
              </w:rPr>
              <w:t xml:space="preserve">Тапсырыс берушінің сұрауы бойынша, шартқа қол қойылған күннен бастап 15 күнтізбелік күн өткен соң және 365 күнтізбелік күн ішінде</w:t>
            </w:r>
            <w:r>
              <w:rPr>
                <w:rFonts w:ascii="Times New Roman" w:hAnsi="Times New Roman" w:cs="Times New Roman" w:eastAsia="Times New Roman"/>
                <w:color w:val="000000"/>
                <w:sz w:val="24"/>
              </w:rPr>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Тауарды жеткізу орны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Астана қ.Қабанбайбатыр даңғылы 119</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Кепілдік мерзімі ( айларда)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12 ай</w:t>
            </w:r>
            <w:r/>
          </w:p>
        </w:tc>
      </w:tr>
      <w:tr>
        <w:trPr>
          <w:trHeight w:val="17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Әлеуетті өнім берушіге оның жеңімпазы анықталған және онымен мемлекеттік сатып алу туралы шарт жасалған жағдайда қойылатын талаптар (қажет болған кезде көрсетіледі) (Әлеуетті өнім берушіні көрсетілген мәліметтерді көрсетпегені және ұсынбағаны үшін қабылдам</w:t>
            </w:r>
            <w:r>
              <w:rPr>
                <w:rFonts w:ascii="Times New Roman" w:hAnsi="Times New Roman" w:cs="Times New Roman" w:eastAsia="Times New Roman"/>
                <w:color w:val="000000"/>
                <w:sz w:val="24"/>
              </w:rPr>
              <w:t xml:space="preserve">ауға жол берілмейді)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Уақытша сақтау қоймасы </w:t>
            </w:r>
            <w:r>
              <w:rPr>
                <w:rFonts w:ascii="Times New Roman" w:hAnsi="Times New Roman" w:cs="Times New Roman" w:eastAsia="Times New Roman"/>
                <w:color w:val="000000"/>
                <w:sz w:val="24"/>
              </w:rPr>
              <w:t xml:space="preserve">иелерінің кәсіби жауапкершілігін жүзеге асыру кезіндегі азаматтық-құқықтық жауапкершілікті ерікті сақтандыру қызметтері. Кәсіптік қызмет деп Сақтанушының қызметі түсініледі, атап айтқанда:тауарларды сақтау бойынша қызметтер көрсету және кәсіпк ерлік қызмет</w:t>
            </w:r>
            <w:r>
              <w:rPr>
                <w:rFonts w:ascii="Times New Roman" w:hAnsi="Times New Roman" w:cs="Times New Roman" w:eastAsia="Times New Roman"/>
                <w:color w:val="000000"/>
                <w:sz w:val="24"/>
              </w:rPr>
              <w:t xml:space="preserve">ретінде сақтауға бай</w:t>
            </w:r>
            <w:r>
              <w:rPr>
                <w:rFonts w:ascii="Times New Roman" w:hAnsi="Times New Roman" w:cs="Times New Roman" w:eastAsia="Times New Roman"/>
                <w:color w:val="000000"/>
                <w:sz w:val="24"/>
              </w:rPr>
              <w:t xml:space="preserve">ланысты қызметтер көрсету (тауар қоймасы) "Қазақстан Республикасы Қаржы министрлігі Мемлекеттік кірістер комитетінің Астана қаласы бойынша Мемлекеттік кірістер департаменті "РММберген арнайы бұйрықтар негізінде жүзеге асырылатын, оны орындау барысында заңн</w:t>
            </w:r>
            <w:r>
              <w:rPr>
                <w:rFonts w:ascii="Times New Roman" w:hAnsi="Times New Roman" w:cs="Times New Roman" w:eastAsia="Times New Roman"/>
                <w:color w:val="000000"/>
                <w:sz w:val="24"/>
              </w:rPr>
              <w:t xml:space="preserve">амада к</w:t>
            </w:r>
            <w:r>
              <w:rPr>
                <w:rFonts w:ascii="Times New Roman" w:hAnsi="Times New Roman" w:cs="Times New Roman" w:eastAsia="Times New Roman"/>
                <w:color w:val="000000"/>
                <w:sz w:val="24"/>
              </w:rPr>
              <w:t xml:space="preserve">өзделген жағдайлар туындауымүмкін Сақтанушының тапсырыс берушісіне зиян келтіргені үшін материалдық жауапкершілік.Сақтандыру жағдайлары деп Сақтанушының Кәсіптік қызметті жүзеге асыруы кезінде қате әрекеттердің(әрекетсіздіктің)немесе ол қылықтың салдары болып табылат</w:t>
            </w:r>
            <w:r>
              <w:rPr>
                <w:rFonts w:ascii="Times New Roman" w:hAnsi="Times New Roman" w:cs="Times New Roman" w:eastAsia="Times New Roman"/>
                <w:color w:val="000000"/>
                <w:sz w:val="24"/>
              </w:rPr>
              <w:t xml:space="preserve">ын,нәтижесінде сақтану шыға зиянды өтеу туралы Тапсырыс берушінің талаптары қойылған оқиғалар танылады.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1.Сақтанушының сақтанушыда сақтаудағы басқа тұлғалардың тауарларына келтірілген зиянды өтеу жөніндегі азаматтық-құқықтық жауапкершілігінің туындау фактісі, сондай-ақ уақытша сақтау қоймасының иесіретінде оның қызметін жүзеге асыруына байланысты сақтаушарттарыныңөзг</w:t>
            </w:r>
            <w:r>
              <w:rPr>
                <w:rFonts w:ascii="Times New Roman" w:hAnsi="Times New Roman" w:cs="Times New Roman" w:eastAsia="Times New Roman"/>
                <w:color w:val="000000"/>
                <w:sz w:val="24"/>
              </w:rPr>
              <w:t xml:space="preserve">е де талаптарын бұзу,оның ішінде,бірақ мынадай оқиғалар басталған кезде шектелмей, сақтандыру жағдайы болып табылады өрт бақыланбайтын жанупроцесі сақтанушыдан тыс жерде, сақтанушыдан тыс жерде, сақтанушыдан басқа адамдардың тауарларына келтірілген зиянды өтеу бойынша са</w:t>
            </w:r>
            <w:r>
              <w:rPr>
                <w:rFonts w:ascii="Times New Roman" w:hAnsi="Times New Roman" w:cs="Times New Roman" w:eastAsia="Times New Roman"/>
                <w:color w:val="000000"/>
                <w:sz w:val="24"/>
              </w:rPr>
              <w:t xml:space="preserve">қтанушының азаматтық-құқықтық жауапкершілігі,   арнайы ошақтың орындары өрт сөндіруш араларымен келтірілген жарылысты,найзағай соғуды қоса алғанда, материалдық залалкелтіретін және адамдардың қауіпсіздігіне қатертөндіретін.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 2.Табиғи апаттар, атап айтқанда жер сілкінісі, ауа - райының дауылы Бьюфорд шкаласы бойынша 8баллға сәйкес келетін желкүшібар ауа массаларыныңқозғалысы-желдің жылдамдығы 60км/сағ немесе бұршақ, су тасқыны,селағынының түсуі көшкінтаужыныстарының құлауы, су тасқы</w:t>
            </w:r>
            <w:r>
              <w:rPr>
                <w:rFonts w:ascii="Times New Roman" w:hAnsi="Times New Roman" w:cs="Times New Roman" w:eastAsia="Times New Roman"/>
                <w:color w:val="000000"/>
                <w:sz w:val="24"/>
              </w:rPr>
              <w:t xml:space="preserve">ны жер асты суларыныңшығуы.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 3.Суқұбырыкәріз және жылыту жүйелерінен су басу.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4.Үшінші тұлғалардың құқыққа қайшы әрекеттері.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5.Ұрлық,тонау(тонау).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 6. Басқарылатын ұшу объектілерінің олардың бөліктерінің немесе олардың заттарының құлауы.7.Қойма аумағындағы тиеу-түсіру жұмыстары және қойма операциялары нәтижесінде тауардың зақымдануы.</w:t>
            </w:r>
            <w:r/>
          </w:p>
        </w:tc>
      </w:tr>
      <w:tr>
        <w:trPr>
          <w:trHeight w:val="1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Сатып алынатын тауардың талап етілетін функционалдық, техникалық, сапалық, пайдалану және өзге де сипаттамаларының сипаттамасы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Сақтандыру қызметін жүргізуге мемлекеттік лицензияның болуы.</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 </w:t>
      </w:r>
      <w:r/>
    </w:p>
    <w:p>
      <w:pPr>
        <w:ind w:left="0" w:right="0" w:firstLine="0"/>
        <w:spacing w:before="0" w:after="160" w:line="61" w:lineRule="atLeast"/>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b/>
          <w:color w:val="000000"/>
          <w:sz w:val="24"/>
        </w:rPr>
        <w:t xml:space="preserve">Техническая спецификация закупаемых услуг</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 </w:t>
      </w:r>
      <w:r/>
    </w:p>
    <w:p>
      <w:pPr>
        <w:ind w:left="0" w:right="-117"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b/>
          <w:color w:val="000000"/>
          <w:sz w:val="24"/>
        </w:rPr>
        <w:t xml:space="preserve">Наименование заказчика</w:t>
      </w:r>
      <w:r>
        <w:rPr>
          <w:rFonts w:ascii="Times New Roman" w:hAnsi="Times New Roman" w:cs="Times New Roman" w:eastAsia="Times New Roman"/>
          <w:color w:val="000000"/>
          <w:sz w:val="24"/>
        </w:rPr>
        <w:t xml:space="preserve">: АО «Международный аэропорт Нурсултан Назарбаев»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b/>
          <w:color w:val="000000"/>
          <w:sz w:val="24"/>
        </w:rPr>
        <w:t xml:space="preserve">№ лота __________________________________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b/>
          <w:color w:val="000000"/>
          <w:sz w:val="24"/>
        </w:rPr>
        <w:t xml:space="preserve">Наименование лота</w:t>
      </w:r>
      <w:r>
        <w:rPr>
          <w:rFonts w:ascii="Times New Roman" w:hAnsi="Times New Roman" w:cs="Times New Roman" w:eastAsia="Times New Roman"/>
          <w:color w:val="000000"/>
          <w:sz w:val="24"/>
        </w:rPr>
        <w:t xml:space="preserve">:</w:t>
      </w:r>
      <w:r>
        <w:rPr>
          <w:rFonts w:ascii="Times New Roman" w:hAnsi="Times New Roman" w:cs="Times New Roman" w:eastAsia="Times New Roman"/>
          <w:b/>
          <w:color w:val="000000"/>
          <w:sz w:val="24"/>
        </w:rPr>
        <w:t xml:space="preserve"> </w:t>
      </w:r>
      <w:r>
        <w:rPr>
          <w:rFonts w:ascii="Times New Roman" w:hAnsi="Times New Roman" w:cs="Times New Roman" w:eastAsia="Times New Roman"/>
          <w:color w:val="000000"/>
          <w:sz w:val="24"/>
        </w:rPr>
        <w:t xml:space="preserve">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212529"/>
          <w:sz w:val="24"/>
        </w:rPr>
        <w:t xml:space="preserve"> </w:t>
      </w:r>
      <w:r/>
    </w:p>
    <w:tbl>
      <w:tblPr>
        <w:tblStyle w:val="8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03"/>
        <w:gridCol w:w="4945"/>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Наименование кода Единого номенклатурного справочника товаров, работ, услуг*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5" w:type="dxa"/>
            <w:vAlign w:val="top"/>
            <w:textDirection w:val="lrTb"/>
            <w:noWrap w:val="false"/>
          </w:tcPr>
          <w:p>
            <w:pPr>
              <w:ind w:left="0" w:right="0" w:firstLine="0"/>
              <w:spacing w:before="0" w:after="360" w:line="285" w:lineRule="atLeast"/>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2"/>
              </w:rPr>
              <w:t xml:space="preserve"> </w:t>
            </w:r>
            <w:r/>
          </w:p>
          <w:p>
            <w:pPr>
              <w:ind w:left="0" w:right="0" w:firstLine="0"/>
              <w:spacing w:before="0" w:after="360" w:line="285" w:lineRule="atLeast"/>
              <w:pBdr>
                <w:top w:val="none" w:color="000000" w:sz="4" w:space="0"/>
                <w:left w:val="none" w:color="000000" w:sz="4" w:space="0"/>
                <w:bottom w:val="none" w:color="000000" w:sz="4" w:space="0"/>
                <w:right w:val="none" w:color="000000" w:sz="4" w:space="0"/>
              </w:pBdr>
            </w:pPr>
            <w:r>
              <w:rPr>
                <w:rFonts w:ascii="Arial" w:hAnsi="Arial" w:cs="Arial" w:eastAsia="Arial"/>
                <w:color w:val="000000"/>
                <w:sz w:val="21"/>
              </w:rPr>
              <w:t xml:space="preserve">749020.000.000018</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Наименование услуги*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2"/>
                <w:highlight w:val="white"/>
              </w:rPr>
              <w:t xml:space="preserve">Услуги  добровольного </w:t>
            </w:r>
            <w:r>
              <w:rPr>
                <w:rFonts w:ascii="Times New Roman" w:hAnsi="Times New Roman" w:cs="Times New Roman" w:eastAsia="Times New Roman"/>
                <w:color w:val="000000"/>
                <w:sz w:val="24"/>
              </w:rPr>
              <w:t xml:space="preserve">cтрахования гражданско-правовой  ответственности </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Единица измерения*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5" w:type="dxa"/>
            <w:vAlign w:val="top"/>
            <w:textDirection w:val="lrTb"/>
            <w:noWrap w:val="false"/>
          </w:tcPr>
          <w:p>
            <w:pPr>
              <w:ind w:left="0" w:right="0" w:firstLine="0"/>
              <w:spacing w:before="0" w:after="0" w:line="285" w:lineRule="atLeast"/>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pacing w:val="2"/>
                <w:sz w:val="22"/>
              </w:rPr>
              <w:t xml:space="preserve">Услуга</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Количество (объем)*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5" w:type="dxa"/>
            <w:vAlign w:val="top"/>
            <w:textDirection w:val="lrTb"/>
            <w:noWrap w:val="false"/>
          </w:tcPr>
          <w:p>
            <w:pPr>
              <w:ind w:left="0" w:right="0" w:firstLine="0"/>
              <w:spacing w:before="0" w:after="0" w:line="285" w:lineRule="atLeast"/>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2"/>
              </w:rPr>
              <w:t xml:space="preserve">1 </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Срок поставки*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5" w:type="dxa"/>
            <w:vAlign w:val="top"/>
            <w:textDirection w:val="lrTb"/>
            <w:noWrap w:val="false"/>
          </w:tcPr>
          <w:p>
            <w:pPr>
              <w:ind w:left="0" w:right="0" w:firstLine="0"/>
              <w:spacing w:before="0" w:after="0" w:line="285" w:lineRule="atLeast"/>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по заявке Заказчика по истечении 15 календарных дней со дня подписания договора в течении 365 календарных дней</w:t>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Место поставки товара*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5" w:type="dxa"/>
            <w:vAlign w:val="top"/>
            <w:textDirection w:val="lrTb"/>
            <w:noWrap w:val="false"/>
          </w:tcPr>
          <w:p>
            <w:pPr>
              <w:ind w:left="0" w:right="0" w:firstLine="0"/>
              <w:spacing w:before="0" w:after="0" w:line="285" w:lineRule="atLeast"/>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2"/>
              </w:rPr>
              <w:t xml:space="preserve">г. Астана. </w:t>
            </w:r>
            <w:r>
              <w:rPr>
                <w:rFonts w:ascii="Times New Roman" w:hAnsi="Times New Roman" w:cs="Times New Roman" w:eastAsia="Times New Roman"/>
                <w:color w:val="000000"/>
                <w:sz w:val="24"/>
              </w:rPr>
              <w:t xml:space="preserve">пр. Кабанбай батыра 119 </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Гарантийный срок (в месяцах)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5" w:type="dxa"/>
            <w:vAlign w:val="top"/>
            <w:textDirection w:val="lrTb"/>
            <w:noWrap w:val="false"/>
          </w:tcPr>
          <w:p>
            <w:pPr>
              <w:ind w:left="0" w:right="0" w:firstLine="0"/>
              <w:spacing w:before="0" w:after="0" w:line="285" w:lineRule="atLeast"/>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2"/>
              </w:rPr>
              <w:t xml:space="preserve">12 месяцев</w:t>
            </w:r>
            <w:r/>
          </w:p>
        </w:tc>
      </w:tr>
      <w:tr>
        <w:trPr>
          <w:trHeight w:val="9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Описание требуемых функциональных, технических, качественных, эксплуатационных и иных характеристик закупаемого товара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2"/>
                <w:highlight w:val="white"/>
              </w:rPr>
              <w:t xml:space="preserve">Услуги добровольного </w:t>
            </w:r>
            <w:r>
              <w:rPr>
                <w:rFonts w:ascii="Times New Roman" w:hAnsi="Times New Roman" w:cs="Times New Roman" w:eastAsia="Times New Roman"/>
                <w:color w:val="000000"/>
                <w:sz w:val="24"/>
              </w:rPr>
              <w:t xml:space="preserve">cтрахования гражданско-правовой ответственности при осуществлении профессиональной ответственности владельцев склада временного хранения.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Под профессиональной деятельностью понимается деятельность Страхователя, а именно: оказание услуг по хранению товаров и оказывающая связанные с хранением услуги в качестве предпринимательской деятельности (товарный склад), осуществляемая на основании специ</w:t>
            </w:r>
            <w:r>
              <w:rPr>
                <w:rFonts w:ascii="Times New Roman" w:hAnsi="Times New Roman" w:cs="Times New Roman" w:eastAsia="Times New Roman"/>
                <w:color w:val="000000"/>
                <w:sz w:val="24"/>
              </w:rPr>
              <w:t xml:space="preserve">альных приказов выданных РГУ «Департамент государственных доходов по городу Астана комитета государственных доходов Министерства финансов Республики Казахстан, в процессе выполнения которой может возникнуть предусмотренная законодательством Республики Каза</w:t>
            </w:r>
            <w:r>
              <w:rPr>
                <w:rFonts w:ascii="Times New Roman" w:hAnsi="Times New Roman" w:cs="Times New Roman" w:eastAsia="Times New Roman"/>
                <w:color w:val="000000"/>
                <w:sz w:val="24"/>
              </w:rPr>
              <w:t xml:space="preserve">хстан материальная ответственность за причинение вреда Заказчику Страхователя. Страховыми случаями, признаются события, являющиеся следствием ошибочных действий (бездействия) или упущения при осуществлении Страхователем Профессиональной деятельности, в рез</w:t>
            </w:r>
            <w:r>
              <w:rPr>
                <w:rFonts w:ascii="Times New Roman" w:hAnsi="Times New Roman" w:cs="Times New Roman" w:eastAsia="Times New Roman"/>
                <w:color w:val="000000"/>
                <w:sz w:val="24"/>
              </w:rPr>
              <w:t xml:space="preserve">ультате которых Страхователю предъявлены требования Заказчика о возмещении вреда.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1.Страховым случаем является факт наступлении гражданско-правовой ответственности страхователя по возмещению вреда товарам других лиц находящихся на хранении у Страхователя, а также нарушения иных условий договоров хранении в связи с осуществлением им деят</w:t>
            </w:r>
            <w:r>
              <w:rPr>
                <w:rFonts w:ascii="Times New Roman" w:hAnsi="Times New Roman" w:cs="Times New Roman" w:eastAsia="Times New Roman"/>
                <w:color w:val="000000"/>
                <w:sz w:val="24"/>
              </w:rPr>
              <w:t xml:space="preserve">ельности в качестве владельца склада временного хранения, в том числе, но не ограничиваясь, при наступлении следующих событий: пожар неконтролируемый процесс горения вне места специального очага наносящий материальный ущерб и создающий угрозу безопасности </w:t>
            </w:r>
            <w:r>
              <w:rPr>
                <w:rFonts w:ascii="Times New Roman" w:hAnsi="Times New Roman" w:cs="Times New Roman" w:eastAsia="Times New Roman"/>
                <w:color w:val="000000"/>
                <w:sz w:val="24"/>
              </w:rPr>
              <w:t xml:space="preserve">людей, включая ущерб причиненный мерами пожаротушения взрыв, удар молнии.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2.Стихийные бедствия, а именно землетрясение, ураган         погодными условиями движение воздушных масс с силой ветра, соответствующей 8 баллам по шкале Бьюфорда - скорость ветра более 60км/ч или град, наводнение, сход селевого потока оползень обвал горны</w:t>
            </w:r>
            <w:r>
              <w:rPr>
                <w:rFonts w:ascii="Times New Roman" w:hAnsi="Times New Roman" w:cs="Times New Roman" w:eastAsia="Times New Roman"/>
                <w:color w:val="000000"/>
                <w:sz w:val="24"/>
              </w:rPr>
              <w:t xml:space="preserve">х пород, паводок выход подпочвенных вод.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3.Затопление водой из водопроводных канализационных и отопительных систем.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4.Противоправные действия третьих лиц.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5. Кража с взломом, грабеж (разбой).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6. Падение пилотируемых летательных объектов их частей или предметов из них.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7. Повреждения товара в результате погрузочно-разгрузочных работ и складских операций на территории склада.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2"/>
              </w:rPr>
              <w:t xml:space="preserve"> </w:t>
            </w:r>
            <w:r/>
          </w:p>
        </w:tc>
      </w:tr>
      <w:tr>
        <w:trPr>
          <w:trHeight w:val="17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4"/>
              </w:rPr>
              <w:t xml:space="preserve">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w:t>
            </w:r>
            <w:r>
              <w:rPr>
                <w:rFonts w:ascii="Times New Roman" w:hAnsi="Times New Roman" w:cs="Times New Roman" w:eastAsia="Times New Roman"/>
                <w:color w:val="000000"/>
                <w:sz w:val="24"/>
              </w:rPr>
              <w:t xml:space="preserve">ускается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color w:val="000000"/>
                <w:sz w:val="22"/>
              </w:rPr>
              <w:t xml:space="preserve">Наличие </w:t>
            </w:r>
            <w:r>
              <w:rPr>
                <w:rFonts w:ascii="Times New Roman" w:hAnsi="Times New Roman" w:cs="Times New Roman" w:eastAsia="Times New Roman"/>
                <w:color w:val="000000"/>
                <w:sz w:val="24"/>
              </w:rPr>
              <w:t xml:space="preserve">государственной лицензии на ведение страховой деятельности.</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b/>
          <w:color w:val="000000"/>
          <w:sz w:val="24"/>
        </w:rPr>
        <w:t xml:space="preserve"> </w:t>
      </w:r>
      <w:r/>
    </w:p>
    <w:p>
      <w:pPr>
        <w:pStyle w:val="865"/>
        <w:rPr>
          <w:rFonts w:ascii="Times New Roman" w:hAnsi="Times New Roman" w:cs="Times New Roman"/>
          <w:b/>
          <w:sz w:val="24"/>
          <w:szCs w:val="24"/>
          <w:lang w:val="kk-KZ"/>
        </w:rPr>
      </w:pPr>
      <w:r>
        <w:rPr>
          <w:rFonts w:ascii="Times New Roman" w:hAnsi="Times New Roman" w:cs="Times New Roman"/>
          <w:b/>
          <w:sz w:val="24"/>
          <w:szCs w:val="24"/>
          <w:lang w:val="kk-KZ"/>
        </w:rPr>
      </w:r>
      <w:r/>
    </w:p>
    <w:sectPr>
      <w:footerReference w:type="default" r:id="rId9"/>
      <w:footnotePr/>
      <w:endnotePr/>
      <w:type w:val="nextPage"/>
      <w:pgSz w:w="11906" w:h="16838" w:orient="portrait"/>
      <w:pgMar w:top="1134" w:right="1134" w:bottom="1134" w:left="1701" w:header="709" w:footer="709" w:gutter="0"/>
      <w:cols w:num="1" w:sep="0" w:space="708" w:equalWidth="1"/>
      <w:docGrid w:linePitch="360"/>
    </w:sectPr>
    <w:p w:rsidR="00356DEA" w:rsidRDefault="00356DEA">
      <w:pPr>
        <w:rPr>
          <w:lang w:val="en-US"/>
        </w:rPr>
      </w:pP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b/>
        </w:rPr>
        <w:t>Разработал</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05.10.2026 17:45 Бекежанова Айнагуль Сунгатовна </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05.10.2026 17:59 Какимов Кобланды Ерикович</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06.10.2026 10:10 Ашимов Данияр Жанатович</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b/>
        </w:rPr>
        <w:t>Утверждено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06.10.2026 11:05 Кумыспаев Ермек Жумабекович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72">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Wingdings">
    <w:panose1 w:val="05010000000000000000"/>
  </w:font>
  <w:font w:name="Courier New">
    <w:panose1 w:val="02070309020205020404"/>
  </w:font>
  <w:font w:name="Segoe UI">
    <w:panose1 w:val="020B0502040504020204"/>
  </w:font>
  <w:font w:name="Times New Roman">
    <w:panose1 w:val="02020603050405020304"/>
  </w:font>
  <w:font w:name="Arial">
    <w:panose1 w:val="020B0604020202020204"/>
  </w:font>
  <w:font w:name="Calibri">
    <w:panose1 w:val="020F0502020204030204"/>
  </w:font>
  <w:font w:name="Cambria">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12820051"/>
      <w:docPartObj>
        <w:docPartGallery w:val="Page Numbers (Bottom of Page)"/>
        <w:docPartUnique w:val="true"/>
      </w:docPartObj>
      <w:rPr/>
    </w:sdtPr>
    <w:sdtContent>
      <w:sdt>
        <w:sdtPr>
          <w15:appearance w15:val="boundingBox"/>
          <w:id w:val="-1769616900"/>
          <w:docPartObj>
            <w:docPartGallery w:val="Page Numbers (Top of Page)"/>
            <w:docPartUnique w:val="true"/>
          </w:docPartObj>
          <w:rPr/>
        </w:sdtPr>
        <w:sdtContent>
          <w:p>
            <w:pPr>
              <w:pStyle w:val="862"/>
              <w:jc w:val="right"/>
            </w:pPr>
            <w:r>
              <w:t xml:space="preserve">Страница </w:t>
            </w:r>
            <w:r>
              <w:rPr>
                <w:b/>
                <w:bCs/>
              </w:rPr>
              <w:fldChar w:fldCharType="begin"/>
            </w:r>
            <w:r>
              <w:rPr>
                <w:b/>
                <w:bCs/>
              </w:rPr>
              <w:instrText xml:space="preserve">PAGE</w:instrText>
            </w:r>
            <w:r>
              <w:rPr>
                <w:b/>
                <w:bCs/>
              </w:rPr>
              <w:fldChar w:fldCharType="separate"/>
            </w:r>
            <w:r>
              <w:rPr>
                <w:b/>
                <w:bCs/>
              </w:rPr>
              <w:t xml:space="preserve">4</w:t>
            </w:r>
            <w:r>
              <w:rPr>
                <w:b/>
                <w:bCs/>
              </w:rPr>
              <w:fldChar w:fldCharType="end"/>
            </w:r>
            <w:r>
              <w:t xml:space="preserve"> из </w:t>
            </w:r>
            <w:r>
              <w:rPr>
                <w:b/>
                <w:bCs/>
              </w:rPr>
              <w:fldChar w:fldCharType="begin"/>
            </w:r>
            <w:r>
              <w:rPr>
                <w:b/>
                <w:bCs/>
              </w:rPr>
              <w:instrText xml:space="preserve">NUMPAGES</w:instrText>
            </w:r>
            <w:r>
              <w:rPr>
                <w:b/>
                <w:bCs/>
              </w:rPr>
              <w:fldChar w:fldCharType="separate"/>
            </w:r>
            <w:r>
              <w:rPr>
                <w:b/>
                <w:bCs/>
              </w:rPr>
              <w:t xml:space="preserve">4</w:t>
            </w:r>
            <w:r>
              <w:rPr>
                <w:b/>
                <w:bCs/>
              </w:rPr>
              <w:fldChar w:fldCharType="end"/>
            </w:r>
            <w:r/>
          </w:p>
        </w:sdtContent>
      </w:sdt>
    </w:sdtContent>
  </w:sdt>
  <w:p>
    <w:pPr>
      <w:pStyle w:val="862"/>
    </w:pPr>
    <w:r/>
    <w:r/>
  </w:p>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Техническая спецификация закупаемых товаров, работ, услуг № 4/12640 от 06.10.2026. Положительный результат проверки ЭЦП</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pPr>
      <w:rPr>
        <w:rFonts w:ascii="Times New Roman" w:hAnsi="Times New Roman" w:cs="Times New Roman" w:eastAsiaTheme="minorHAnsi"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hint="default"/>
      </w:rPr>
    </w:lvl>
    <w:lvl w:ilvl="3">
      <w:start w:val="1"/>
      <w:numFmt w:val="bullet"/>
      <w:isLgl w:val="false"/>
      <w:suff w:val="tab"/>
      <w:lvlText w:val=""/>
      <w:lvlJc w:val="left"/>
      <w:pPr>
        <w:ind w:left="2880" w:hanging="360"/>
      </w:pPr>
      <w:rPr>
        <w:rFonts w:ascii="Symbol" w:hAnsi="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hint="default"/>
      </w:rPr>
    </w:lvl>
    <w:lvl w:ilvl="6">
      <w:start w:val="1"/>
      <w:numFmt w:val="bullet"/>
      <w:isLgl w:val="false"/>
      <w:suff w:val="tab"/>
      <w:lvlText w:val=""/>
      <w:lvlJc w:val="left"/>
      <w:pPr>
        <w:ind w:left="5040" w:hanging="360"/>
      </w:pPr>
      <w:rPr>
        <w:rFonts w:ascii="Symbol" w:hAnsi="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hint="default"/>
      </w:rPr>
    </w:lvl>
  </w:abstractNum>
  <w:abstractNum w:abstractNumId="1">
    <w:multiLevelType w:val="hybridMultilevel"/>
    <w:lvl w:ilvl="0">
      <w:start w:val="1"/>
      <w:numFmt w:val="bullet"/>
      <w:isLgl w:val="false"/>
      <w:suff w:val="tab"/>
      <w:lvlText w:val="-"/>
      <w:lvlJc w:val="left"/>
      <w:pPr>
        <w:ind w:left="720" w:hanging="360"/>
      </w:pPr>
      <w:rPr>
        <w:rFonts w:ascii="Times New Roman" w:hAnsi="Times New Roman" w:cs="Times New Roman" w:eastAsia="Times New Roman"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hint="default"/>
      </w:rPr>
    </w:lvl>
    <w:lvl w:ilvl="3">
      <w:start w:val="1"/>
      <w:numFmt w:val="bullet"/>
      <w:isLgl w:val="false"/>
      <w:suff w:val="tab"/>
      <w:lvlText w:val=""/>
      <w:lvlJc w:val="left"/>
      <w:pPr>
        <w:ind w:left="2880" w:hanging="360"/>
      </w:pPr>
      <w:rPr>
        <w:rFonts w:ascii="Symbol" w:hAnsi="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hint="default"/>
      </w:rPr>
    </w:lvl>
    <w:lvl w:ilvl="6">
      <w:start w:val="1"/>
      <w:numFmt w:val="bullet"/>
      <w:isLgl w:val="false"/>
      <w:suff w:val="tab"/>
      <w:lvlText w:val=""/>
      <w:lvlJc w:val="left"/>
      <w:pPr>
        <w:ind w:left="5040" w:hanging="360"/>
      </w:pPr>
      <w:rPr>
        <w:rFonts w:ascii="Symbol" w:hAnsi="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hint="default"/>
      </w:rPr>
    </w:lvl>
  </w:abstractNum>
  <w:abstractNum w:abstractNumId="2">
    <w:multiLevelType w:val="hybridMultilevel"/>
    <w:lvl w:ilvl="0">
      <w:start w:val="1"/>
      <w:numFmt w:val="bullet"/>
      <w:isLgl w:val="false"/>
      <w:suff w:val="tab"/>
      <w:lvlText w:val="-"/>
      <w:lvlJc w:val="left"/>
      <w:pPr>
        <w:ind w:left="720" w:hanging="360"/>
      </w:pPr>
      <w:rPr>
        <w:rFonts w:ascii="Times New Roman" w:hAnsi="Times New Roman" w:cs="Times New Roman" w:eastAsiaTheme="minorHAnsi"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hint="default"/>
      </w:rPr>
    </w:lvl>
    <w:lvl w:ilvl="3">
      <w:start w:val="1"/>
      <w:numFmt w:val="bullet"/>
      <w:isLgl w:val="false"/>
      <w:suff w:val="tab"/>
      <w:lvlText w:val=""/>
      <w:lvlJc w:val="left"/>
      <w:pPr>
        <w:ind w:left="2880" w:hanging="360"/>
      </w:pPr>
      <w:rPr>
        <w:rFonts w:ascii="Symbol" w:hAnsi="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hint="default"/>
      </w:rPr>
    </w:lvl>
    <w:lvl w:ilvl="6">
      <w:start w:val="1"/>
      <w:numFmt w:val="bullet"/>
      <w:isLgl w:val="false"/>
      <w:suff w:val="tab"/>
      <w:lvlText w:val=""/>
      <w:lvlJc w:val="left"/>
      <w:pPr>
        <w:ind w:left="5040" w:hanging="360"/>
      </w:pPr>
      <w:rPr>
        <w:rFonts w:ascii="Symbol" w:hAnsi="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hint="default"/>
      </w:rPr>
    </w:lvl>
  </w:abstractNum>
  <w:abstractNum w:abstractNumId="3">
    <w:multiLevelType w:val="hybridMultilevel"/>
    <w:lvl w:ilvl="0">
      <w:start w:val="1"/>
      <w:numFmt w:val="bullet"/>
      <w:isLgl w:val="false"/>
      <w:suff w:val="tab"/>
      <w:lvlText w:val="-"/>
      <w:lvlJc w:val="left"/>
      <w:pPr>
        <w:ind w:left="720" w:hanging="360"/>
      </w:pPr>
      <w:rPr>
        <w:rFonts w:ascii="Times New Roman" w:hAnsi="Times New Roman" w:cs="Times New Roman" w:eastAsiaTheme="minorHAnsi"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hint="default"/>
      </w:rPr>
    </w:lvl>
    <w:lvl w:ilvl="3">
      <w:start w:val="1"/>
      <w:numFmt w:val="bullet"/>
      <w:isLgl w:val="false"/>
      <w:suff w:val="tab"/>
      <w:lvlText w:val=""/>
      <w:lvlJc w:val="left"/>
      <w:pPr>
        <w:ind w:left="2880" w:hanging="360"/>
      </w:pPr>
      <w:rPr>
        <w:rFonts w:ascii="Symbol" w:hAnsi="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hint="default"/>
      </w:rPr>
    </w:lvl>
    <w:lvl w:ilvl="6">
      <w:start w:val="1"/>
      <w:numFmt w:val="bullet"/>
      <w:isLgl w:val="false"/>
      <w:suff w:val="tab"/>
      <w:lvlText w:val=""/>
      <w:lvlJc w:val="left"/>
      <w:pPr>
        <w:ind w:left="5040" w:hanging="360"/>
      </w:pPr>
      <w:rPr>
        <w:rFonts w:ascii="Symbol" w:hAnsi="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smallFrac m:val="false"/>
    <m:dispDef m:val="true"/>
    <m:lMargin m:val="0"/>
    <m:rMargin m:val="0"/>
    <m:defJc m:val="centerGroup"/>
    <m:wrapIndent m:val="1440"/>
    <m:intLim m:val="subSup"/>
    <m:naryLim m:val="undOvr"/>
  </m:mathPr>
  <w:themeFontLang w:eastAsia="zh-CN"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hint="default"/>
        <w:sz w:val="22"/>
        <w:szCs w:val="22"/>
        <w:lang w:val="ru-RU" w:bidi="ar-SA" w:eastAsia="en-US"/>
      </w:rPr>
    </w:rPrDefault>
    <w:pPrDefault>
      <w:pPr>
        <w:spacing w:before="0" w:beforeAutospacing="0" w:after="160" w:afterAutospacing="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1 Char"/>
    <w:basedOn w:val="852"/>
    <w:link w:val="850"/>
    <w:uiPriority w:val="9"/>
    <w:rPr>
      <w:rFonts w:ascii="Arial" w:hAnsi="Arial" w:cs="Arial" w:eastAsia="Arial"/>
      <w:sz w:val="40"/>
      <w:szCs w:val="40"/>
    </w:rPr>
  </w:style>
  <w:style w:type="character" w:styleId="680">
    <w:name w:val="Heading 2 Char"/>
    <w:basedOn w:val="852"/>
    <w:link w:val="851"/>
    <w:uiPriority w:val="9"/>
    <w:rPr>
      <w:rFonts w:ascii="Arial" w:hAnsi="Arial" w:cs="Arial" w:eastAsia="Arial"/>
      <w:sz w:val="34"/>
    </w:rPr>
  </w:style>
  <w:style w:type="paragraph" w:styleId="681">
    <w:name w:val="Heading 3"/>
    <w:basedOn w:val="849"/>
    <w:next w:val="849"/>
    <w:link w:val="682"/>
    <w:uiPriority w:val="9"/>
    <w:unhideWhenUsed/>
    <w:qFormat/>
    <w:pPr>
      <w:keepLines/>
      <w:keepNext/>
      <w:spacing w:before="320" w:after="200"/>
      <w:outlineLvl w:val="2"/>
    </w:pPr>
    <w:rPr>
      <w:rFonts w:ascii="Arial" w:hAnsi="Arial" w:cs="Arial" w:eastAsia="Arial"/>
      <w:sz w:val="30"/>
      <w:szCs w:val="30"/>
    </w:rPr>
  </w:style>
  <w:style w:type="character" w:styleId="682">
    <w:name w:val="Heading 3 Char"/>
    <w:basedOn w:val="852"/>
    <w:link w:val="681"/>
    <w:uiPriority w:val="9"/>
    <w:rPr>
      <w:rFonts w:ascii="Arial" w:hAnsi="Arial" w:cs="Arial" w:eastAsia="Arial"/>
      <w:sz w:val="30"/>
      <w:szCs w:val="30"/>
    </w:rPr>
  </w:style>
  <w:style w:type="paragraph" w:styleId="683">
    <w:name w:val="Heading 4"/>
    <w:basedOn w:val="849"/>
    <w:next w:val="849"/>
    <w:link w:val="684"/>
    <w:uiPriority w:val="9"/>
    <w:unhideWhenUsed/>
    <w:qFormat/>
    <w:pPr>
      <w:keepLines/>
      <w:keepNext/>
      <w:spacing w:before="320" w:after="200"/>
      <w:outlineLvl w:val="3"/>
    </w:pPr>
    <w:rPr>
      <w:rFonts w:ascii="Arial" w:hAnsi="Arial" w:cs="Arial" w:eastAsia="Arial"/>
      <w:b/>
      <w:bCs/>
      <w:sz w:val="26"/>
      <w:szCs w:val="26"/>
    </w:rPr>
  </w:style>
  <w:style w:type="character" w:styleId="684">
    <w:name w:val="Heading 4 Char"/>
    <w:basedOn w:val="852"/>
    <w:link w:val="683"/>
    <w:uiPriority w:val="9"/>
    <w:rPr>
      <w:rFonts w:ascii="Arial" w:hAnsi="Arial" w:cs="Arial" w:eastAsia="Arial"/>
      <w:b/>
      <w:bCs/>
      <w:sz w:val="26"/>
      <w:szCs w:val="26"/>
    </w:rPr>
  </w:style>
  <w:style w:type="paragraph" w:styleId="685">
    <w:name w:val="Heading 5"/>
    <w:basedOn w:val="849"/>
    <w:next w:val="849"/>
    <w:link w:val="686"/>
    <w:uiPriority w:val="9"/>
    <w:unhideWhenUsed/>
    <w:qFormat/>
    <w:pPr>
      <w:keepLines/>
      <w:keepNext/>
      <w:spacing w:before="320" w:after="200"/>
      <w:outlineLvl w:val="4"/>
    </w:pPr>
    <w:rPr>
      <w:rFonts w:ascii="Arial" w:hAnsi="Arial" w:cs="Arial" w:eastAsia="Arial"/>
      <w:b/>
      <w:bCs/>
      <w:sz w:val="24"/>
      <w:szCs w:val="24"/>
    </w:rPr>
  </w:style>
  <w:style w:type="character" w:styleId="686">
    <w:name w:val="Heading 5 Char"/>
    <w:basedOn w:val="852"/>
    <w:link w:val="685"/>
    <w:uiPriority w:val="9"/>
    <w:rPr>
      <w:rFonts w:ascii="Arial" w:hAnsi="Arial" w:cs="Arial" w:eastAsia="Arial"/>
      <w:b/>
      <w:bCs/>
      <w:sz w:val="24"/>
      <w:szCs w:val="24"/>
    </w:rPr>
  </w:style>
  <w:style w:type="paragraph" w:styleId="687">
    <w:name w:val="Heading 6"/>
    <w:basedOn w:val="849"/>
    <w:next w:val="849"/>
    <w:link w:val="688"/>
    <w:uiPriority w:val="9"/>
    <w:unhideWhenUsed/>
    <w:qFormat/>
    <w:pPr>
      <w:keepLines/>
      <w:keepNext/>
      <w:spacing w:before="320" w:after="200"/>
      <w:outlineLvl w:val="5"/>
    </w:pPr>
    <w:rPr>
      <w:rFonts w:ascii="Arial" w:hAnsi="Arial" w:cs="Arial" w:eastAsia="Arial"/>
      <w:b/>
      <w:bCs/>
      <w:sz w:val="22"/>
      <w:szCs w:val="22"/>
    </w:rPr>
  </w:style>
  <w:style w:type="character" w:styleId="688">
    <w:name w:val="Heading 6 Char"/>
    <w:basedOn w:val="852"/>
    <w:link w:val="687"/>
    <w:uiPriority w:val="9"/>
    <w:rPr>
      <w:rFonts w:ascii="Arial" w:hAnsi="Arial" w:cs="Arial" w:eastAsia="Arial"/>
      <w:b/>
      <w:bCs/>
      <w:sz w:val="22"/>
      <w:szCs w:val="22"/>
    </w:rPr>
  </w:style>
  <w:style w:type="paragraph" w:styleId="689">
    <w:name w:val="Heading 7"/>
    <w:basedOn w:val="849"/>
    <w:next w:val="849"/>
    <w:link w:val="690"/>
    <w:uiPriority w:val="9"/>
    <w:unhideWhenUsed/>
    <w:qFormat/>
    <w:pPr>
      <w:keepLines/>
      <w:keepNext/>
      <w:spacing w:before="320" w:after="200"/>
      <w:outlineLvl w:val="6"/>
    </w:pPr>
    <w:rPr>
      <w:rFonts w:ascii="Arial" w:hAnsi="Arial" w:cs="Arial" w:eastAsia="Arial"/>
      <w:b/>
      <w:bCs/>
      <w:i/>
      <w:iCs/>
      <w:sz w:val="22"/>
      <w:szCs w:val="22"/>
    </w:rPr>
  </w:style>
  <w:style w:type="character" w:styleId="690">
    <w:name w:val="Heading 7 Char"/>
    <w:basedOn w:val="852"/>
    <w:link w:val="689"/>
    <w:uiPriority w:val="9"/>
    <w:rPr>
      <w:rFonts w:ascii="Arial" w:hAnsi="Arial" w:cs="Arial" w:eastAsia="Arial"/>
      <w:b/>
      <w:bCs/>
      <w:i/>
      <w:iCs/>
      <w:sz w:val="22"/>
      <w:szCs w:val="22"/>
    </w:rPr>
  </w:style>
  <w:style w:type="paragraph" w:styleId="691">
    <w:name w:val="Heading 8"/>
    <w:basedOn w:val="849"/>
    <w:next w:val="849"/>
    <w:link w:val="692"/>
    <w:uiPriority w:val="9"/>
    <w:unhideWhenUsed/>
    <w:qFormat/>
    <w:pPr>
      <w:keepLines/>
      <w:keepNext/>
      <w:spacing w:before="320" w:after="200"/>
      <w:outlineLvl w:val="7"/>
    </w:pPr>
    <w:rPr>
      <w:rFonts w:ascii="Arial" w:hAnsi="Arial" w:cs="Arial" w:eastAsia="Arial"/>
      <w:i/>
      <w:iCs/>
      <w:sz w:val="22"/>
      <w:szCs w:val="22"/>
    </w:rPr>
  </w:style>
  <w:style w:type="character" w:styleId="692">
    <w:name w:val="Heading 8 Char"/>
    <w:basedOn w:val="852"/>
    <w:link w:val="691"/>
    <w:uiPriority w:val="9"/>
    <w:rPr>
      <w:rFonts w:ascii="Arial" w:hAnsi="Arial" w:cs="Arial" w:eastAsia="Arial"/>
      <w:i/>
      <w:iCs/>
      <w:sz w:val="22"/>
      <w:szCs w:val="22"/>
    </w:rPr>
  </w:style>
  <w:style w:type="paragraph" w:styleId="693">
    <w:name w:val="Heading 9"/>
    <w:basedOn w:val="849"/>
    <w:next w:val="849"/>
    <w:link w:val="694"/>
    <w:uiPriority w:val="9"/>
    <w:unhideWhenUsed/>
    <w:qFormat/>
    <w:pPr>
      <w:keepLines/>
      <w:keepNext/>
      <w:spacing w:before="320" w:after="200"/>
      <w:outlineLvl w:val="8"/>
    </w:pPr>
    <w:rPr>
      <w:rFonts w:ascii="Arial" w:hAnsi="Arial" w:cs="Arial" w:eastAsia="Arial"/>
      <w:i/>
      <w:iCs/>
      <w:sz w:val="21"/>
      <w:szCs w:val="21"/>
    </w:rPr>
  </w:style>
  <w:style w:type="character" w:styleId="694">
    <w:name w:val="Heading 9 Char"/>
    <w:basedOn w:val="852"/>
    <w:link w:val="693"/>
    <w:uiPriority w:val="9"/>
    <w:rPr>
      <w:rFonts w:ascii="Arial" w:hAnsi="Arial" w:cs="Arial" w:eastAsia="Arial"/>
      <w:i/>
      <w:iCs/>
      <w:sz w:val="21"/>
      <w:szCs w:val="21"/>
    </w:rPr>
  </w:style>
  <w:style w:type="paragraph" w:styleId="695">
    <w:name w:val="Title"/>
    <w:basedOn w:val="849"/>
    <w:next w:val="849"/>
    <w:link w:val="696"/>
    <w:uiPriority w:val="10"/>
    <w:qFormat/>
    <w:pPr>
      <w:contextualSpacing/>
      <w:spacing w:before="300" w:after="200"/>
    </w:pPr>
    <w:rPr>
      <w:sz w:val="48"/>
      <w:szCs w:val="48"/>
    </w:rPr>
  </w:style>
  <w:style w:type="character" w:styleId="696">
    <w:name w:val="Title Char"/>
    <w:basedOn w:val="852"/>
    <w:link w:val="695"/>
    <w:uiPriority w:val="10"/>
    <w:rPr>
      <w:sz w:val="48"/>
      <w:szCs w:val="48"/>
    </w:rPr>
  </w:style>
  <w:style w:type="paragraph" w:styleId="697">
    <w:name w:val="Subtitle"/>
    <w:basedOn w:val="849"/>
    <w:next w:val="849"/>
    <w:link w:val="698"/>
    <w:uiPriority w:val="11"/>
    <w:qFormat/>
    <w:pPr>
      <w:spacing w:before="200" w:after="200"/>
    </w:pPr>
    <w:rPr>
      <w:sz w:val="24"/>
      <w:szCs w:val="24"/>
    </w:rPr>
  </w:style>
  <w:style w:type="character" w:styleId="698">
    <w:name w:val="Subtitle Char"/>
    <w:basedOn w:val="852"/>
    <w:link w:val="697"/>
    <w:uiPriority w:val="11"/>
    <w:rPr>
      <w:sz w:val="24"/>
      <w:szCs w:val="24"/>
    </w:rPr>
  </w:style>
  <w:style w:type="paragraph" w:styleId="699">
    <w:name w:val="Quote"/>
    <w:basedOn w:val="849"/>
    <w:next w:val="849"/>
    <w:link w:val="700"/>
    <w:uiPriority w:val="29"/>
    <w:qFormat/>
    <w:pPr>
      <w:ind w:left="720" w:right="720"/>
    </w:pPr>
    <w:rPr>
      <w:i/>
    </w:rPr>
  </w:style>
  <w:style w:type="character" w:styleId="700">
    <w:name w:val="Quote Char"/>
    <w:link w:val="699"/>
    <w:uiPriority w:val="29"/>
    <w:rPr>
      <w:i/>
    </w:rPr>
  </w:style>
  <w:style w:type="paragraph" w:styleId="701">
    <w:name w:val="Intense Quote"/>
    <w:basedOn w:val="849"/>
    <w:next w:val="849"/>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2"/>
    <w:link w:val="860"/>
    <w:uiPriority w:val="99"/>
  </w:style>
  <w:style w:type="character" w:styleId="704">
    <w:name w:val="Footer Char"/>
    <w:basedOn w:val="852"/>
    <w:link w:val="862"/>
    <w:uiPriority w:val="99"/>
  </w:style>
  <w:style w:type="paragraph" w:styleId="705">
    <w:name w:val="Caption"/>
    <w:basedOn w:val="849"/>
    <w:next w:val="849"/>
    <w:uiPriority w:val="35"/>
    <w:semiHidden/>
    <w:unhideWhenUsed/>
    <w:qFormat/>
    <w:pPr>
      <w:spacing w:line="276" w:lineRule="auto"/>
    </w:pPr>
    <w:rPr>
      <w:b/>
      <w:bCs/>
      <w:color w:val="4F81BD" w:themeColor="accent1"/>
      <w:sz w:val="18"/>
      <w:szCs w:val="18"/>
    </w:rPr>
  </w:style>
  <w:style w:type="character" w:styleId="706">
    <w:name w:val="Caption Char"/>
    <w:basedOn w:val="705"/>
    <w:link w:val="862"/>
    <w:uiPriority w:val="99"/>
  </w:style>
  <w:style w:type="table" w:styleId="707">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3">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4">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5">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6">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7">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8">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5">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8">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9">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0">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1">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2">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3">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5">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6">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7">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8">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9">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0">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9">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0">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1">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2">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3">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4">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6">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7">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8">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9">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0">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1">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3">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4">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5">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6">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7">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8">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0">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4">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2">
    <w:name w:val="footnote text"/>
    <w:basedOn w:val="849"/>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2"/>
    <w:uiPriority w:val="99"/>
    <w:unhideWhenUsed/>
    <w:rPr>
      <w:vertAlign w:val="superscript"/>
    </w:rPr>
  </w:style>
  <w:style w:type="paragraph" w:styleId="835">
    <w:name w:val="endnote text"/>
    <w:basedOn w:val="849"/>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2"/>
    <w:uiPriority w:val="99"/>
    <w:semiHidden/>
    <w:unhideWhenUsed/>
    <w:rPr>
      <w:vertAlign w:val="superscript"/>
    </w:rPr>
  </w:style>
  <w:style w:type="paragraph" w:styleId="838">
    <w:name w:val="toc 1"/>
    <w:basedOn w:val="849"/>
    <w:next w:val="849"/>
    <w:uiPriority w:val="39"/>
    <w:unhideWhenUsed/>
    <w:pPr>
      <w:ind w:left="0" w:right="0" w:firstLine="0"/>
      <w:spacing w:after="57"/>
    </w:pPr>
  </w:style>
  <w:style w:type="paragraph" w:styleId="839">
    <w:name w:val="toc 2"/>
    <w:basedOn w:val="849"/>
    <w:next w:val="849"/>
    <w:uiPriority w:val="39"/>
    <w:unhideWhenUsed/>
    <w:pPr>
      <w:ind w:left="283" w:right="0" w:firstLine="0"/>
      <w:spacing w:after="57"/>
    </w:pPr>
  </w:style>
  <w:style w:type="paragraph" w:styleId="840">
    <w:name w:val="toc 3"/>
    <w:basedOn w:val="849"/>
    <w:next w:val="849"/>
    <w:uiPriority w:val="39"/>
    <w:unhideWhenUsed/>
    <w:pPr>
      <w:ind w:left="567" w:right="0" w:firstLine="0"/>
      <w:spacing w:after="57"/>
    </w:pPr>
  </w:style>
  <w:style w:type="paragraph" w:styleId="841">
    <w:name w:val="toc 4"/>
    <w:basedOn w:val="849"/>
    <w:next w:val="849"/>
    <w:uiPriority w:val="39"/>
    <w:unhideWhenUsed/>
    <w:pPr>
      <w:ind w:left="850" w:right="0" w:firstLine="0"/>
      <w:spacing w:after="57"/>
    </w:pPr>
  </w:style>
  <w:style w:type="paragraph" w:styleId="842">
    <w:name w:val="toc 5"/>
    <w:basedOn w:val="849"/>
    <w:next w:val="849"/>
    <w:uiPriority w:val="39"/>
    <w:unhideWhenUsed/>
    <w:pPr>
      <w:ind w:left="1134" w:right="0" w:firstLine="0"/>
      <w:spacing w:after="57"/>
    </w:pPr>
  </w:style>
  <w:style w:type="paragraph" w:styleId="843">
    <w:name w:val="toc 6"/>
    <w:basedOn w:val="849"/>
    <w:next w:val="849"/>
    <w:uiPriority w:val="39"/>
    <w:unhideWhenUsed/>
    <w:pPr>
      <w:ind w:left="1417" w:right="0" w:firstLine="0"/>
      <w:spacing w:after="57"/>
    </w:pPr>
  </w:style>
  <w:style w:type="paragraph" w:styleId="844">
    <w:name w:val="toc 7"/>
    <w:basedOn w:val="849"/>
    <w:next w:val="849"/>
    <w:uiPriority w:val="39"/>
    <w:unhideWhenUsed/>
    <w:pPr>
      <w:ind w:left="1701"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qFormat/>
    <w:pPr>
      <w:spacing w:after="0" w:line="240" w:lineRule="auto"/>
    </w:pPr>
    <w:rPr>
      <w:rFonts w:ascii="Times New Roman" w:hAnsi="Times New Roman" w:cs="Times New Roman" w:eastAsia="Times New Roman"/>
      <w:sz w:val="24"/>
      <w:szCs w:val="24"/>
      <w:lang w:eastAsia="ru-RU"/>
    </w:rPr>
  </w:style>
  <w:style w:type="paragraph" w:styleId="850">
    <w:name w:val="Heading 1"/>
    <w:basedOn w:val="849"/>
    <w:link w:val="869"/>
    <w:uiPriority w:val="9"/>
    <w:qFormat/>
    <w:pPr>
      <w:spacing w:before="100" w:beforeAutospacing="1" w:after="100" w:afterAutospacing="1"/>
      <w:outlineLvl w:val="0"/>
    </w:pPr>
    <w:rPr>
      <w:b/>
      <w:bCs/>
      <w:sz w:val="48"/>
      <w:szCs w:val="48"/>
    </w:rPr>
  </w:style>
  <w:style w:type="paragraph" w:styleId="851">
    <w:name w:val="Heading 2"/>
    <w:basedOn w:val="849"/>
    <w:link w:val="870"/>
    <w:uiPriority w:val="9"/>
    <w:qFormat/>
    <w:pPr>
      <w:spacing w:before="100" w:beforeAutospacing="1" w:after="100" w:afterAutospacing="1"/>
      <w:outlineLvl w:val="1"/>
    </w:pPr>
    <w:rPr>
      <w:b/>
      <w:bCs/>
      <w:sz w:val="36"/>
      <w:szCs w:val="36"/>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table" w:styleId="855">
    <w:name w:val="Table Grid"/>
    <w:basedOn w:val="853"/>
    <w:uiPriority w:val="59"/>
    <w:pPr>
      <w:spacing w:after="0" w:line="240" w:lineRule="auto"/>
    </w:pPr>
    <w:rPr>
      <w:rFonts w:ascii="Times New Roman" w:hAnsi="Times New Roman" w:cs="Times New Roman" w:eastAsia="Times New Roman"/>
      <w:sz w:val="2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6">
    <w:name w:val="No Spacing"/>
    <w:uiPriority w:val="1"/>
    <w:qFormat/>
    <w:pPr>
      <w:spacing w:after="0" w:line="240" w:lineRule="auto"/>
    </w:pPr>
    <w:rPr>
      <w:rFonts w:ascii="Times New Roman" w:hAnsi="Times New Roman" w:cs="Times New Roman" w:eastAsia="Times New Roman"/>
      <w:sz w:val="24"/>
      <w:szCs w:val="24"/>
      <w:lang w:eastAsia="ru-RU"/>
    </w:rPr>
  </w:style>
  <w:style w:type="paragraph" w:styleId="857">
    <w:name w:val="Balloon Text"/>
    <w:basedOn w:val="849"/>
    <w:link w:val="858"/>
    <w:uiPriority w:val="99"/>
    <w:semiHidden/>
    <w:unhideWhenUsed/>
    <w:rPr>
      <w:rFonts w:ascii="Segoe UI" w:hAnsi="Segoe UI" w:cs="Segoe UI"/>
      <w:sz w:val="18"/>
      <w:szCs w:val="18"/>
    </w:rPr>
  </w:style>
  <w:style w:type="character" w:styleId="858" w:customStyle="1">
    <w:name w:val="Текст выноски Знак"/>
    <w:basedOn w:val="852"/>
    <w:link w:val="857"/>
    <w:uiPriority w:val="99"/>
    <w:semiHidden/>
    <w:rPr>
      <w:rFonts w:ascii="Segoe UI" w:hAnsi="Segoe UI" w:cs="Segoe UI" w:eastAsia="Times New Roman"/>
      <w:sz w:val="18"/>
      <w:szCs w:val="18"/>
      <w:lang w:eastAsia="ru-RU"/>
    </w:rPr>
  </w:style>
  <w:style w:type="paragraph" w:styleId="859">
    <w:name w:val="List Paragraph"/>
    <w:basedOn w:val="849"/>
    <w:uiPriority w:val="34"/>
    <w:qFormat/>
    <w:pPr>
      <w:contextualSpacing/>
      <w:ind w:left="720"/>
    </w:pPr>
  </w:style>
  <w:style w:type="paragraph" w:styleId="860">
    <w:name w:val="Header"/>
    <w:basedOn w:val="849"/>
    <w:link w:val="861"/>
    <w:uiPriority w:val="99"/>
    <w:unhideWhenUsed/>
    <w:pPr>
      <w:tabs>
        <w:tab w:val="center" w:pos="4677" w:leader="none"/>
        <w:tab w:val="right" w:pos="9355" w:leader="none"/>
      </w:tabs>
    </w:pPr>
  </w:style>
  <w:style w:type="character" w:styleId="861" w:customStyle="1">
    <w:name w:val="Верхний колонтитул Знак"/>
    <w:basedOn w:val="852"/>
    <w:link w:val="860"/>
    <w:uiPriority w:val="99"/>
    <w:rPr>
      <w:rFonts w:ascii="Times New Roman" w:hAnsi="Times New Roman" w:cs="Times New Roman" w:eastAsia="Times New Roman"/>
      <w:sz w:val="24"/>
      <w:szCs w:val="24"/>
      <w:lang w:eastAsia="ru-RU"/>
    </w:rPr>
  </w:style>
  <w:style w:type="paragraph" w:styleId="862">
    <w:name w:val="Footer"/>
    <w:basedOn w:val="849"/>
    <w:link w:val="863"/>
    <w:uiPriority w:val="99"/>
    <w:unhideWhenUsed/>
    <w:pPr>
      <w:tabs>
        <w:tab w:val="center" w:pos="4677" w:leader="none"/>
        <w:tab w:val="right" w:pos="9355" w:leader="none"/>
      </w:tabs>
    </w:pPr>
  </w:style>
  <w:style w:type="character" w:styleId="863" w:customStyle="1">
    <w:name w:val="Нижний колонтитул Знак"/>
    <w:basedOn w:val="852"/>
    <w:link w:val="862"/>
    <w:uiPriority w:val="99"/>
    <w:rPr>
      <w:rFonts w:ascii="Times New Roman" w:hAnsi="Times New Roman" w:cs="Times New Roman" w:eastAsia="Times New Roman"/>
      <w:sz w:val="24"/>
      <w:szCs w:val="24"/>
      <w:lang w:eastAsia="ru-RU"/>
    </w:rPr>
  </w:style>
  <w:style w:type="character" w:styleId="864">
    <w:name w:val="Hyperlink"/>
    <w:basedOn w:val="852"/>
    <w:uiPriority w:val="99"/>
    <w:semiHidden/>
    <w:unhideWhenUsed/>
    <w:rPr>
      <w:color w:val="0000FF"/>
      <w:u w:val="single"/>
    </w:rPr>
  </w:style>
  <w:style w:type="paragraph" w:styleId="865" w:customStyle="1">
    <w:name w:val="Обычный1"/>
    <w:qFormat/>
    <w:pPr>
      <w:spacing w:after="0" w:line="276" w:lineRule="auto"/>
    </w:pPr>
    <w:rPr>
      <w:rFonts w:ascii="Arial" w:hAnsi="Arial" w:cs="Arial" w:eastAsia="Arial"/>
      <w:color w:val="000000"/>
      <w:sz w:val="20"/>
      <w:lang w:eastAsia="ru-RU"/>
    </w:rPr>
  </w:style>
  <w:style w:type="paragraph" w:styleId="866" w:customStyle="1">
    <w:name w:val="formattext"/>
    <w:basedOn w:val="849"/>
    <w:pPr>
      <w:spacing w:before="100" w:beforeAutospacing="1" w:after="100" w:afterAutospacing="1"/>
    </w:pPr>
  </w:style>
  <w:style w:type="paragraph" w:styleId="867" w:customStyle="1">
    <w:name w:val="headertext"/>
    <w:basedOn w:val="849"/>
    <w:pPr>
      <w:spacing w:before="100" w:beforeAutospacing="1" w:after="100" w:afterAutospacing="1"/>
    </w:pPr>
  </w:style>
  <w:style w:type="character" w:styleId="868" w:customStyle="1">
    <w:name w:val="s1"/>
    <w:rPr>
      <w:rFonts w:ascii="Times New Roman" w:hAnsi="Times New Roman" w:cs="Times New Roman" w:hint="default"/>
      <w:b/>
      <w:bCs/>
      <w:color w:val="000000"/>
    </w:rPr>
  </w:style>
  <w:style w:type="character" w:styleId="869" w:customStyle="1">
    <w:name w:val="Заголовок 1 Знак"/>
    <w:basedOn w:val="852"/>
    <w:link w:val="850"/>
    <w:uiPriority w:val="9"/>
    <w:rPr>
      <w:rFonts w:ascii="Times New Roman" w:hAnsi="Times New Roman" w:cs="Times New Roman" w:eastAsia="Times New Roman"/>
      <w:b/>
      <w:bCs/>
      <w:sz w:val="48"/>
      <w:szCs w:val="48"/>
      <w:lang w:eastAsia="ru-RU"/>
    </w:rPr>
  </w:style>
  <w:style w:type="character" w:styleId="870" w:customStyle="1">
    <w:name w:val="Заголовок 2 Знак"/>
    <w:basedOn w:val="852"/>
    <w:link w:val="851"/>
    <w:uiPriority w:val="9"/>
    <w:rPr>
      <w:rFonts w:ascii="Times New Roman" w:hAnsi="Times New Roman" w:cs="Times New Roman" w:eastAsia="Times New Roman"/>
      <w:b/>
      <w:bCs/>
      <w:sz w:val="36"/>
      <w:szCs w:val="36"/>
      <w:lang w:eastAsia="ru-RU"/>
    </w:rPr>
  </w:style>
  <w:style w:type="paragraph" w:styleId="871" w:customStyle="1">
    <w:name w:val="pc"/>
    <w:basedOn w:val="849"/>
    <w:pPr>
      <w:spacing w:before="100" w:beforeAutospacing="1" w:after="100" w:afterAutospacing="1"/>
    </w:pPr>
  </w:style>
  <w:style w:type="character" w:styleId="872" w:customStyle="1">
    <w:name w:val="s0"/>
    <w:basedOn w:val="852"/>
  </w:style>
  <w:style w:type="paragraph" w:styleId="873" w:customStyle="1">
    <w:name w:val="pj"/>
    <w:basedOn w:val="849"/>
    <w:pPr>
      <w:spacing w:before="100" w:beforeAutospacing="1" w:after="100" w:afterAutospacing="1"/>
    </w:pPr>
  </w:style>
  <w:style w:type="character" w:styleId="874" w:customStyle="1">
    <w:name w:val="apple-converted-space"/>
    <w:basedOn w:val="852"/>
  </w:style>
  <w:style w:type="paragraph" w:styleId="875">
    <w:name w:val="Body Text"/>
    <w:basedOn w:val="849"/>
    <w:link w:val="876"/>
    <w:pPr>
      <w:jc w:val="center"/>
    </w:pPr>
    <w:rPr>
      <w:b/>
      <w:sz w:val="28"/>
      <w:szCs w:val="20"/>
    </w:rPr>
  </w:style>
  <w:style w:type="character" w:styleId="876" w:customStyle="1">
    <w:name w:val="Основной текст Знак"/>
    <w:basedOn w:val="852"/>
    <w:link w:val="875"/>
    <w:rPr>
      <w:rFonts w:ascii="Times New Roman" w:hAnsi="Times New Roman" w:cs="Times New Roman" w:eastAsia="Times New Roman"/>
      <w:b/>
      <w:sz w:val="28"/>
      <w:szCs w:val="20"/>
      <w:lang w:eastAsia="ru-RU"/>
    </w:rPr>
  </w:style>
  <w:style w:type="paragraph" w:styleId="877">
    <w:name w:val="Normal (Web)"/>
    <w:basedOn w:val="849"/>
    <w:uiPriority w:val="99"/>
    <w:unhideWhenUsed/>
    <w:pPr>
      <w:spacing w:before="100" w:beforeAutospacing="1" w:after="100" w:afterAutospacing="1"/>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6" Type="http://schemas.openxmlformats.org/officeDocument/2006/relationships/numbering" Target="numbering.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customXml" Target="../customXml/item1.xml"/><Relationship Id="rId972" Type="http://schemas.openxmlformats.org/officeDocument/2006/relationships/image" Target="media/image97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
</file>

<file path=customXml/itemProps1.xml><?xml version="1.0" encoding="utf-8"?>
<ds:datastoreItem xmlns:ds="http://schemas.openxmlformats.org/officeDocument/2006/customXml" ds:itemID="{4CEBE9BF-8B3F-4B6E-A9BF-83CBBBAA2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ONLYOFFICE/7.1.1.23</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Еденов Суйеншибек Жандуллаевич</dc:creator>
  <cp:keywords/>
  <dc:description/>
  <cp:lastModifiedBy>Бекежанова Айнагуль Сунгатовна </cp:lastModifiedBy>
  <cp:revision>9</cp:revision>
  <dcterms:created xsi:type="dcterms:W3CDTF">2024-05-23T11:37:00Z</dcterms:created>
  <dcterms:modified xsi:type="dcterms:W3CDTF">2026-10-05T12:44:27Z</dcterms:modified>
</cp:coreProperties>
</file>