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lang w:val="kk-KZ" w:eastAsia="zh-CN" w:bidi="ar-SA"/>
        </w:rPr>
      </w:pPr>
      <w:r>
        <w:rPr>
          <w:rFonts w:cs="Times New Roman"/>
          <w:i/>
          <w:color w:val="000000"/>
          <w:sz w:val="24"/>
          <w:szCs w:val="24"/>
          <w:lang w:val="kk-KZ" w:eastAsia="zh-CN" w:bidi="ar-SA"/>
        </w:rPr>
        <w:t>2026 ж. «___» _______________</w:t>
      </w:r>
      <w:r>
        <w:rPr>
          <w:rFonts w:cs="Times New Roman"/>
          <w:i/>
          <w:sz w:val="24"/>
          <w:szCs w:val="24"/>
          <w:lang w:val="kk-KZ" w:eastAsia="zh-CN" w:bidi="ar-SA"/>
        </w:rPr>
        <w:t>№</w:t>
      </w:r>
    </w:p>
    <w:p>
      <w:pPr>
        <w:pStyle w:val="Normal"/>
        <w:jc w:val="right"/>
        <w:rPr>
          <w:lang w:val="kk-KZ" w:eastAsia="zh-CN" w:bidi="ar-SA"/>
        </w:rPr>
      </w:pPr>
      <w:r>
        <w:rPr>
          <w:rFonts w:cs="Times New Roman"/>
          <w:i/>
          <w:sz w:val="24"/>
          <w:szCs w:val="24"/>
          <w:lang w:val="kk-KZ" w:eastAsia="zh-CN" w:bidi="ar-SA"/>
        </w:rPr>
        <w:t>Шартқа 2 қосымша</w:t>
      </w:r>
    </w:p>
    <w:p>
      <w:pPr>
        <w:pStyle w:val="Normal"/>
        <w:jc w:val="center"/>
        <w:rPr>
          <w:rFonts w:ascii="Times New Roman" w:hAnsi="Times New Roman" w:cs="Times New Roman"/>
          <w:i/>
          <w:i/>
          <w:sz w:val="24"/>
          <w:szCs w:val="24"/>
          <w:lang w:val="kk-KZ" w:eastAsia="zh-CN" w:bidi="ar-SA"/>
        </w:rPr>
      </w:pPr>
      <w:r>
        <w:rPr>
          <w:rFonts w:cs="Times New Roman"/>
          <w:i/>
          <w:sz w:val="24"/>
          <w:szCs w:val="24"/>
          <w:lang w:val="kk-KZ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lang w:val="kk-KZ" w:eastAsia="zh-CN" w:bidi="ar-SA"/>
        </w:rPr>
      </w:pPr>
      <w:r>
        <w:rPr>
          <w:rFonts w:cs="Times New Roman"/>
          <w:b/>
          <w:bCs/>
          <w:color w:val="000000"/>
          <w:sz w:val="24"/>
          <w:szCs w:val="24"/>
          <w:shd w:fill="FFFFFF" w:val="clear"/>
          <w:lang w:val="kk-KZ" w:eastAsia="zh-CN" w:bidi="ar-SA"/>
        </w:rPr>
        <w:t>Техникалық</w:t>
      </w:r>
      <w:r>
        <w:rPr>
          <w:rFonts w:cs="Times New Roman"/>
          <w:b/>
          <w:color w:val="000000"/>
          <w:sz w:val="24"/>
          <w:szCs w:val="24"/>
          <w:shd w:fill="FFFFFF" w:val="clear"/>
          <w:lang w:val="kk-KZ" w:eastAsia="zh-CN" w:bidi="ar-SA"/>
        </w:rPr>
        <w:t xml:space="preserve"> ерекшелігі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fill="FFFFFF" w:val="clear"/>
          <w:lang w:val="kk-KZ" w:eastAsia="zh-CN" w:bidi="ar-SA"/>
        </w:rPr>
      </w:pPr>
      <w:r>
        <w:rPr>
          <w:rFonts w:cs="Times New Roman"/>
          <w:b/>
          <w:color w:val="000000"/>
          <w:sz w:val="24"/>
          <w:szCs w:val="24"/>
          <w:shd w:fill="FFFFFF" w:val="clear"/>
          <w:lang w:val="kk-KZ" w:eastAsia="zh-CN" w:bidi="ar-SA"/>
        </w:rPr>
      </w:r>
    </w:p>
    <w:tbl>
      <w:tblPr>
        <w:tblW w:w="15026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2416"/>
        <w:gridCol w:w="9868"/>
        <w:gridCol w:w="2175"/>
      </w:tblGrid>
      <w:tr>
        <w:trPr>
          <w:trHeight w:val="333" w:hRule="atLeast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№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val="kk-KZ" w:eastAsia="zh-CN" w:bidi="ar-SA"/>
              </w:rPr>
              <w:t xml:space="preserve"> </w:t>
            </w: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р/с</w:t>
            </w:r>
          </w:p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Атауы</w:t>
            </w:r>
          </w:p>
        </w:tc>
        <w:tc>
          <w:tcPr>
            <w:tcW w:w="9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Техникалық ерекшеліктері, сипаттамасы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Жеткізу орны</w:t>
            </w:r>
          </w:p>
        </w:tc>
      </w:tr>
      <w:tr>
        <w:trPr>
          <w:trHeight w:val="155" w:hRule="atLeast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1</w:t>
            </w:r>
          </w:p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2</w:t>
            </w:r>
          </w:p>
        </w:tc>
        <w:tc>
          <w:tcPr>
            <w:tcW w:w="9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3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4</w:t>
            </w:r>
          </w:p>
        </w:tc>
      </w:tr>
      <w:tr>
        <w:trPr>
          <w:trHeight w:val="542" w:hRule="atLeast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</w:r>
          </w:p>
        </w:tc>
        <w:tc>
          <w:tcPr>
            <w:tcW w:w="241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  <w:t>Тағамдану саласындағы жабдықтарды жөндеу/жаңғырту жұмыстары</w:t>
            </w:r>
          </w:p>
        </w:tc>
        <w:tc>
          <w:tcPr>
            <w:tcW w:w="98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uto" w:line="240" w:before="0" w:after="0"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  <w:t>Картоп тазалағышты жөндеу жұмыстары:</w:t>
            </w:r>
          </w:p>
          <w:p>
            <w:pPr>
              <w:pStyle w:val="BodyText"/>
              <w:numPr>
                <w:ilvl w:val="0"/>
                <w:numId w:val="5"/>
              </w:numPr>
              <w:tabs>
                <w:tab w:val="clear" w:pos="708"/>
                <w:tab w:val="left" w:pos="0" w:leader="none"/>
              </w:tabs>
              <w:spacing w:lineRule="auto" w:line="240" w:before="0" w:after="142"/>
              <w:ind w:hanging="283" w:left="709"/>
              <w:contextualSpacing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  <w:t>бөлшектеу,</w:t>
            </w:r>
          </w:p>
          <w:p>
            <w:pPr>
              <w:pStyle w:val="BodyText"/>
              <w:numPr>
                <w:ilvl w:val="0"/>
                <w:numId w:val="5"/>
              </w:numPr>
              <w:tabs>
                <w:tab w:val="clear" w:pos="708"/>
                <w:tab w:val="left" w:pos="0" w:leader="none"/>
              </w:tabs>
              <w:spacing w:lineRule="auto" w:line="240" w:before="0" w:after="142"/>
              <w:ind w:hanging="283" w:left="709"/>
              <w:contextualSpacing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  <w:t>білік мойынтірегін ауыстыру – 2 дана,</w:t>
            </w:r>
          </w:p>
          <w:p>
            <w:pPr>
              <w:pStyle w:val="BodyText"/>
              <w:numPr>
                <w:ilvl w:val="0"/>
                <w:numId w:val="5"/>
              </w:numPr>
              <w:tabs>
                <w:tab w:val="clear" w:pos="708"/>
                <w:tab w:val="left" w:pos="0" w:leader="none"/>
              </w:tabs>
              <w:spacing w:lineRule="auto" w:line="240" w:before="0" w:after="142"/>
              <w:ind w:hanging="283" w:left="709"/>
              <w:contextualSpacing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  <w:t>тығыздағышты (сальникті) ауыстыру – 1 дана,</w:t>
            </w:r>
          </w:p>
          <w:p>
            <w:pPr>
              <w:pStyle w:val="BodyText"/>
              <w:numPr>
                <w:ilvl w:val="0"/>
                <w:numId w:val="5"/>
              </w:numPr>
              <w:tabs>
                <w:tab w:val="clear" w:pos="708"/>
                <w:tab w:val="left" w:pos="0" w:leader="none"/>
              </w:tabs>
              <w:spacing w:lineRule="auto" w:line="240" w:before="0" w:after="142"/>
              <w:ind w:hanging="283" w:left="709"/>
              <w:contextualSpacing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  <w:t>электр қозғалтқышына арналған алаңшаны дайындау – 1 дана,</w:t>
            </w:r>
          </w:p>
          <w:p>
            <w:pPr>
              <w:pStyle w:val="BodyText"/>
              <w:numPr>
                <w:ilvl w:val="0"/>
                <w:numId w:val="5"/>
              </w:numPr>
              <w:tabs>
                <w:tab w:val="clear" w:pos="708"/>
                <w:tab w:val="left" w:pos="0" w:leader="none"/>
              </w:tabs>
              <w:spacing w:lineRule="auto" w:line="240" w:before="0" w:after="142"/>
              <w:ind w:hanging="283" w:left="709"/>
              <w:contextualSpacing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  <w:t>білік төсемін ауыстыру – 2 дана,</w:t>
            </w:r>
          </w:p>
          <w:p>
            <w:pPr>
              <w:pStyle w:val="BodyText"/>
              <w:numPr>
                <w:ilvl w:val="0"/>
                <w:numId w:val="5"/>
              </w:numPr>
              <w:tabs>
                <w:tab w:val="clear" w:pos="708"/>
                <w:tab w:val="left" w:pos="0" w:leader="none"/>
              </w:tabs>
              <w:spacing w:lineRule="auto" w:line="240"/>
              <w:ind w:hanging="283" w:left="709"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  <w:t>монтаждау, іске қосу-баптау жұмыстары.</w:t>
            </w:r>
          </w:p>
          <w:p>
            <w:pPr>
              <w:pStyle w:val="BodyText"/>
              <w:spacing w:lineRule="auto" w:line="240"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  <w:t>Барлық қажетті қосалқы бөлшектер мен материалдарды Өнім беруші өз қаражаты есебінен сатып алып, Тапсырыс берушінің мекенжайына жеткізеді және оларды өз бетінше орнатады.</w:t>
            </w:r>
          </w:p>
          <w:p>
            <w:pPr>
              <w:pStyle w:val="BodyText"/>
              <w:spacing w:lineRule="auto" w:line="240" w:before="0" w:after="0"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  <w:t>Өнім беруші Тапсырыс беруші орындалған жұмыстарды қабылдау актісіне қол қойған күннен бастап орындалған жұмыстарға кемінде 12 ай кепілдік береді.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TML1"/>
              <w:rPr>
                <w:lang w:val="kk-KZ" w:eastAsia="zh-CN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kk-KZ" w:eastAsia="zh-CN" w:bidi="ar-SA"/>
              </w:rPr>
              <w:t>Қостанай облысы Рудный қ, парк к-сі, 45</w:t>
            </w:r>
          </w:p>
        </w:tc>
      </w:tr>
    </w:tbl>
    <w:p>
      <w:pPr>
        <w:pStyle w:val="Normal"/>
        <w:jc w:val="right"/>
        <w:rPr>
          <w:rFonts w:ascii="Times New Roman" w:hAnsi="Times New Roman" w:cs="Times New Roman"/>
          <w:i/>
          <w:i/>
          <w:sz w:val="24"/>
          <w:szCs w:val="24"/>
          <w:lang w:val="kk-KZ" w:eastAsia="zh-CN" w:bidi="ar-SA"/>
        </w:rPr>
      </w:pPr>
      <w:r>
        <w:rPr>
          <w:rFonts w:cs="Times New Roman"/>
          <w:i/>
          <w:sz w:val="24"/>
          <w:szCs w:val="24"/>
          <w:lang w:val="kk-KZ" w:eastAsia="zh-CN" w:bidi="ar-SA"/>
        </w:rPr>
      </w:r>
      <w:r>
        <w:br w:type="page"/>
      </w:r>
    </w:p>
    <w:p>
      <w:pPr>
        <w:pStyle w:val="Normal"/>
        <w:spacing w:before="0" w:after="0"/>
        <w:jc w:val="right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Приложение 2 к Договору</w:t>
      </w:r>
    </w:p>
    <w:p>
      <w:pPr>
        <w:pStyle w:val="Normal"/>
        <w:jc w:val="right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от «___» _______ 20</w:t>
      </w:r>
      <w:r>
        <w:rPr>
          <w:rFonts w:cs="Times New Roman"/>
          <w:i/>
          <w:sz w:val="24"/>
          <w:szCs w:val="24"/>
          <w:lang w:val="kk-KZ"/>
        </w:rPr>
        <w:t xml:space="preserve">26 </w:t>
      </w:r>
      <w:r>
        <w:rPr>
          <w:rFonts w:cs="Times New Roman"/>
          <w:i/>
          <w:sz w:val="24"/>
          <w:szCs w:val="24"/>
        </w:rPr>
        <w:t>года №</w:t>
      </w:r>
    </w:p>
    <w:p>
      <w:pPr>
        <w:pStyle w:val="Normal"/>
        <w:jc w:val="center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/>
          <w:b/>
          <w:i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Техническая спецификация</w:t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tbl>
      <w:tblPr>
        <w:tblW w:w="15026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9"/>
        <w:gridCol w:w="2499"/>
        <w:gridCol w:w="9752"/>
        <w:gridCol w:w="2175"/>
      </w:tblGrid>
      <w:tr>
        <w:trPr>
          <w:trHeight w:val="100" w:hRule="atLeast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№</w:t>
            </w:r>
          </w:p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97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Техническая спецификация, характеристика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Место оказания</w:t>
            </w:r>
          </w:p>
        </w:tc>
      </w:tr>
      <w:tr>
        <w:trPr>
          <w:trHeight w:val="288" w:hRule="atLeast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7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4</w:t>
            </w:r>
          </w:p>
        </w:tc>
      </w:tr>
      <w:tr>
        <w:trPr>
          <w:trHeight w:val="1010" w:hRule="atLeast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7"/>
              </w:numPr>
              <w:snapToGrid w:val="fals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</w:r>
          </w:p>
        </w:tc>
        <w:tc>
          <w:tcPr>
            <w:tcW w:w="249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212529"/>
                <w:spacing w:val="0"/>
                <w:sz w:val="24"/>
                <w:szCs w:val="24"/>
              </w:rPr>
              <w:t>Работы по ремонту/модернизации оборудования сферы питания</w:t>
            </w:r>
          </w:p>
        </w:tc>
        <w:tc>
          <w:tcPr>
            <w:tcW w:w="97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 xml:space="preserve">Работа по ремонту </w:t>
            </w: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картофелечистки</w:t>
            </w: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: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демонтаж,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/>
              <w:t xml:space="preserve">замена подшипника вала – </w:t>
            </w:r>
            <w:r>
              <w:rPr/>
              <w:t>2</w:t>
            </w:r>
            <w:r>
              <w:rPr/>
              <w:t xml:space="preserve"> шт,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/>
              <w:t xml:space="preserve">замена сальника – </w:t>
            </w:r>
            <w:r>
              <w:rPr/>
              <w:t xml:space="preserve">1 </w:t>
            </w:r>
            <w:r>
              <w:rPr/>
              <w:t>шт,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 xml:space="preserve">изготовление площадки эл.двигателя – </w:t>
            </w: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 xml:space="preserve">1 </w:t>
            </w: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шт,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замена прокладки вала – 2 шт,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монтаж, пуско-наладочные работы.</w:t>
            </w:r>
          </w:p>
          <w:p>
            <w:pPr>
              <w:pStyle w:val="Normal"/>
              <w:rPr>
                <w:lang w:val="ru-RU" w:eastAsia="zh-CN" w:bidi="ar-SA"/>
              </w:rPr>
            </w:pPr>
            <w:r>
              <w:rPr>
                <w:lang w:val="ru-RU" w:eastAsia="zh-CN" w:bidi="ar-SA"/>
              </w:rPr>
            </w:r>
          </w:p>
          <w:p>
            <w:pPr>
              <w:pStyle w:val="Normal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Все необходимые детали и материалы Поставщик приобретает и поставляет по адресу Заказчика за свой счет и самостоятельно их устанавливает.</w:t>
            </w:r>
          </w:p>
          <w:p>
            <w:pPr>
              <w:pStyle w:val="Normal"/>
              <w:rPr>
                <w:lang w:val="ru-RU" w:eastAsia="zh-CN" w:bidi="ar-SA"/>
              </w:rPr>
            </w:pPr>
            <w:r>
              <w:rPr>
                <w:lang w:val="ru-RU" w:eastAsia="zh-CN" w:bidi="ar-SA"/>
              </w:rPr>
            </w:r>
          </w:p>
          <w:p>
            <w:pPr>
              <w:pStyle w:val="Normal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Поставщик предоставляет гарантию на оказанную работу не менее 12 месяцев со дня подписания акта о приеме выполненных работ Заказчиком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cs="Times New Roman"/>
                <w:sz w:val="24"/>
                <w:szCs w:val="24"/>
              </w:rPr>
              <w:t>Костанайская область, г. Рудный, Парковая, 45</w:t>
            </w:r>
          </w:p>
        </w:tc>
      </w:tr>
    </w:tbl>
    <w:p>
      <w:pPr>
        <w:pStyle w:val="Normal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cs="Times New Roman"/>
          <w:sz w:val="24"/>
          <w:szCs w:val="24"/>
          <w:lang w:val="kk-KZ"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418" w:right="678" w:gutter="0" w:header="709" w:top="868" w:footer="0" w:bottom="719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Cambria">
    <w:charset w:val="01"/>
    <w:family w:val="swiss"/>
    <w:pitch w:val="default"/>
  </w:font>
  <w:font w:name="Symbol">
    <w:charset w:val="01"/>
    <w:family w:val="swiss"/>
    <w:pitch w:val="default"/>
  </w:font>
  <w:font w:name="Tahoma">
    <w:charset w:val="01"/>
    <w:family w:val="swiss"/>
    <w:pitch w:val="default"/>
  </w:font>
  <w:font w:name="Courier New">
    <w:charset w:val="01"/>
    <w:family w:val="swiss"/>
    <w:pitch w:val="default"/>
  </w:font>
  <w:font w:name="OpenSymbol">
    <w:altName w:val="Arial Unicode MS"/>
    <w:charset w:val="01"/>
    <w:family w:val="swiss"/>
    <w:pitch w:val="default"/>
  </w:font>
  <w:font w:name="Liberation Mono">
    <w:altName w:val="Courier New"/>
    <w:charset w:val="01"/>
    <w:family w:val="swiss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erif CJK SC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lineRule="auto" w:line="276" w:before="480" w:after="0"/>
      <w:outlineLvl w:val="0"/>
    </w:pPr>
    <w:rPr>
      <w:rFonts w:ascii="Cambria" w:hAnsi="Cambria" w:cs="Cambria"/>
      <w:b/>
      <w:bCs/>
      <w:color w:val="365F91"/>
      <w:sz w:val="28"/>
      <w:szCs w:val="28"/>
      <w:lang w:val="ru-RU"/>
    </w:rPr>
  </w:style>
  <w:style w:type="character" w:styleId="WW8Num3z0">
    <w:name w:val="WW8Num3z0"/>
    <w:qFormat/>
    <w:rPr>
      <w:sz w:val="20"/>
      <w:szCs w:val="20"/>
    </w:rPr>
  </w:style>
  <w:style w:type="character" w:styleId="WW8Num2z0">
    <w:name w:val="WW8Num2z0"/>
    <w:qFormat/>
    <w:rPr/>
  </w:style>
  <w:style w:type="character" w:styleId="WW8Num2z1">
    <w:name w:val="WW8Num2z1"/>
    <w:qFormat/>
    <w:rPr>
      <w:b w:val="false"/>
    </w:rPr>
  </w:style>
  <w:style w:type="character" w:styleId="WW8Num3z1">
    <w:name w:val="WW8Num3z1"/>
    <w:qFormat/>
    <w:rPr>
      <w:b w:val="false"/>
    </w:rPr>
  </w:style>
  <w:style w:type="character" w:styleId="WW8Num8z0">
    <w:name w:val="WW8Num8z0"/>
    <w:qFormat/>
    <w:rPr>
      <w:b w:val="false"/>
    </w:rPr>
  </w:style>
  <w:style w:type="character" w:styleId="WW8Num9z0">
    <w:name w:val="WW8Num9z0"/>
    <w:qFormat/>
    <w:rPr>
      <w:strike w:val="false"/>
      <w:dstrike w:val="false"/>
    </w:rPr>
  </w:style>
  <w:style w:type="character" w:styleId="WW8Num9z1">
    <w:name w:val="WW8Num9z1"/>
    <w:qFormat/>
    <w:rPr>
      <w:b w:val="false"/>
    </w:rPr>
  </w:style>
  <w:style w:type="character" w:styleId="WW8Num13z0">
    <w:name w:val="WW8Num13z0"/>
    <w:qFormat/>
    <w:rPr/>
  </w:style>
  <w:style w:type="character" w:styleId="WW8Num13z1">
    <w:name w:val="WW8Num13z1"/>
    <w:qFormat/>
    <w:rPr>
      <w:b w:val="false"/>
    </w:rPr>
  </w:style>
  <w:style w:type="character" w:styleId="WW8Num18z0">
    <w:name w:val="WW8Num18z0"/>
    <w:qFormat/>
    <w:rPr/>
  </w:style>
  <w:style w:type="character" w:styleId="WW8Num20z0">
    <w:name w:val="WW8Num20z0"/>
    <w:qFormat/>
    <w:rPr>
      <w:strike w:val="false"/>
      <w:dstrike w:val="false"/>
    </w:rPr>
  </w:style>
  <w:style w:type="character" w:styleId="WW8Num20z1">
    <w:name w:val="WW8Num20z1"/>
    <w:qFormat/>
    <w:rPr>
      <w:b w:val="false"/>
    </w:rPr>
  </w:style>
  <w:style w:type="character" w:styleId="WW8Num22z0">
    <w:name w:val="WW8Num22z0"/>
    <w:qFormat/>
    <w:rPr/>
  </w:style>
  <w:style w:type="character" w:styleId="WW8Num22z1">
    <w:name w:val="WW8Num22z1"/>
    <w:qFormat/>
    <w:rPr>
      <w:b w:val="false"/>
    </w:rPr>
  </w:style>
  <w:style w:type="character" w:styleId="WW8Num27z0">
    <w:name w:val="WW8Num27z0"/>
    <w:qFormat/>
    <w:rPr>
      <w:strike w:val="false"/>
      <w:dstrike w:val="false"/>
    </w:rPr>
  </w:style>
  <w:style w:type="character" w:styleId="WW8Num27z1">
    <w:name w:val="WW8Num27z1"/>
    <w:qFormat/>
    <w:rPr/>
  </w:style>
  <w:style w:type="character" w:styleId="WW8Num28z0">
    <w:name w:val="WW8Num28z0"/>
    <w:qFormat/>
    <w:rPr/>
  </w:style>
  <w:style w:type="character" w:styleId="WW8Num34z0">
    <w:name w:val="WW8Num34z0"/>
    <w:qFormat/>
    <w:rPr/>
  </w:style>
  <w:style w:type="character" w:styleId="WW8Num36z0">
    <w:name w:val="WW8Num36z0"/>
    <w:qFormat/>
    <w:rPr>
      <w:strike w:val="false"/>
      <w:dstrike w:val="false"/>
    </w:rPr>
  </w:style>
  <w:style w:type="character" w:styleId="WW8Num36z1">
    <w:name w:val="WW8Num36z1"/>
    <w:qFormat/>
    <w:rPr>
      <w:b w:val="false"/>
    </w:rPr>
  </w:style>
  <w:style w:type="character" w:styleId="WW8Num37z0">
    <w:name w:val="WW8Num37z0"/>
    <w:qFormat/>
    <w:rPr>
      <w:sz w:val="20"/>
      <w:szCs w:val="20"/>
    </w:rPr>
  </w:style>
  <w:style w:type="character" w:styleId="WW8Num39z0">
    <w:name w:val="WW8Num39z0"/>
    <w:qFormat/>
    <w:rPr>
      <w:rFonts w:ascii="Symbol" w:hAnsi="Symbol" w:cs="Symbol"/>
    </w:rPr>
  </w:style>
  <w:style w:type="character" w:styleId="Style13">
    <w:name w:val="Основной шрифт абзаца"/>
    <w:qFormat/>
    <w:rPr/>
  </w:style>
  <w:style w:type="character" w:styleId="s0">
    <w:name w:val="s0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color w:val="800000"/>
      <w:sz w:val="32"/>
      <w:szCs w:val="32"/>
      <w:u w:val="none"/>
    </w:rPr>
  </w:style>
  <w:style w:type="character" w:styleId="Strong">
    <w:name w:val="Strong"/>
    <w:qFormat/>
    <w:rPr>
      <w:b/>
      <w:bCs/>
    </w:rPr>
  </w:style>
  <w:style w:type="character" w:styleId="style22">
    <w:name w:val="style22 Знак"/>
    <w:qFormat/>
    <w:rPr>
      <w:rFonts w:ascii="Tahoma" w:hAnsi="Tahoma" w:cs="Tahoma"/>
      <w:sz w:val="18"/>
      <w:szCs w:val="18"/>
      <w:lang w:val="ru-RU" w:bidi="ar-SA"/>
    </w:rPr>
  </w:style>
  <w:style w:type="character" w:styleId="s1">
    <w:name w:val="s1"/>
    <w:qFormat/>
    <w:rPr>
      <w:rFonts w:ascii="Times New Roman" w:hAnsi="Times New Roman" w:cs="Times New Roman"/>
      <w:b/>
      <w:bCs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Style14">
    <w:name w:val="Текст выноски Знак"/>
    <w:qFormat/>
    <w:rPr>
      <w:rFonts w:ascii="Tahoma" w:hAnsi="Tahoma" w:cs="Tahoma"/>
      <w:sz w:val="16"/>
      <w:szCs w:val="16"/>
      <w:lang w:val="ru-RU" w:bidi="ar-SA"/>
    </w:rPr>
  </w:style>
  <w:style w:type="character" w:styleId="Hyperlink">
    <w:name w:val="Hyperlink"/>
    <w:rPr>
      <w:rFonts w:ascii="Times New Roman" w:hAnsi="Times New Roman" w:cs="Times New Roman"/>
      <w:color w:val="333399"/>
      <w:u w:val="single"/>
    </w:rPr>
  </w:style>
  <w:style w:type="character" w:styleId="Style15">
    <w:name w:val="Верхний колонтитул Знак"/>
    <w:qFormat/>
    <w:rPr>
      <w:rFonts w:eastAsia="SimSun;宋体"/>
      <w:sz w:val="24"/>
      <w:szCs w:val="24"/>
      <w:lang w:val="ru-RU" w:eastAsia="zh-CN" w:bidi="ar-SA"/>
    </w:rPr>
  </w:style>
  <w:style w:type="character" w:styleId="PageNumber">
    <w:name w:val="Page Number"/>
    <w:basedOn w:val="Style13"/>
    <w:qFormat/>
    <w:rPr/>
  </w:style>
  <w:style w:type="character" w:styleId="Style16">
    <w:name w:val="Нижний колонтитул Знак"/>
    <w:qFormat/>
    <w:rPr>
      <w:rFonts w:eastAsia="SimSun;宋体"/>
      <w:sz w:val="24"/>
      <w:szCs w:val="24"/>
      <w:lang w:val="ru-RU" w:eastAsia="zh-CN" w:bidi="ar-SA"/>
    </w:rPr>
  </w:style>
  <w:style w:type="character" w:styleId="sectext">
    <w:name w:val="sectext"/>
    <w:basedOn w:val="Style13"/>
    <w:qFormat/>
    <w:rPr/>
  </w:style>
  <w:style w:type="character" w:styleId="igdictionarysample">
    <w:name w:val="ig_dictionary_sample"/>
    <w:basedOn w:val="Style13"/>
    <w:qFormat/>
    <w:rPr/>
  </w:style>
  <w:style w:type="character" w:styleId="apple-converted-space">
    <w:name w:val="apple-converted-space"/>
    <w:basedOn w:val="Style13"/>
    <w:qFormat/>
    <w:rPr/>
  </w:style>
  <w:style w:type="character" w:styleId="1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character" w:styleId="HTML">
    <w:name w:val="Стандартный HTML Знак"/>
    <w:qFormat/>
    <w:rPr>
      <w:rFonts w:ascii="Courier New" w:hAnsi="Courier New" w:cs="Courier New"/>
    </w:rPr>
  </w:style>
  <w:style w:type="character" w:styleId="Style17">
    <w:name w:val="Символ нумерации"/>
    <w:qFormat/>
    <w:rPr/>
  </w:style>
  <w:style w:type="character" w:styleId="Style18">
    <w:name w:val="Маркеры"/>
    <w:qFormat/>
    <w:rPr>
      <w:rFonts w:ascii="OpenSymbol" w:hAnsi="OpenSymbol" w:eastAsia="OpenSymbol" w:cs="OpenSymbol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Calibri" w:hAnsi="Calibri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Calibri" w:hAnsi="Calibri"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Calibri" w:hAnsi="Calibri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Style21">
    <w:name w:val="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3">
    <w:name w:val="Обычный (веб)"/>
    <w:basedOn w:val="Normal"/>
    <w:qFormat/>
    <w:pPr>
      <w:spacing w:before="280" w:after="280"/>
    </w:pPr>
    <w:rPr/>
  </w:style>
  <w:style w:type="paragraph" w:styleId="style221">
    <w:name w:val="style22"/>
    <w:basedOn w:val="Normal"/>
    <w:qFormat/>
    <w:pPr>
      <w:spacing w:before="280" w:after="280"/>
    </w:pPr>
    <w:rPr>
      <w:rFonts w:ascii="Tahoma" w:hAnsi="Tahoma" w:cs="Tahoma"/>
      <w:sz w:val="18"/>
      <w:szCs w:val="18"/>
    </w:rPr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2">
    <w:name w:val="Знак2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WW-">
    <w:name w:val="WW-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5">
    <w:name w:val="Знак Знак Знак Знак Знак Знак Знак Знак Знак Знак Знак Знак 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6">
    <w:name w:val="мад"/>
    <w:basedOn w:val="Normal"/>
    <w:qFormat/>
    <w:pPr>
      <w:widowControl w:val="false"/>
      <w:shd w:val="clear" w:fill="FFFFFF"/>
    </w:pPr>
    <w:rPr>
      <w:color w:val="000000"/>
    </w:rPr>
  </w:style>
  <w:style w:type="paragraph" w:styleId="Style27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8">
    <w:name w:val="Колонтитулы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/>
    <w:rPr>
      <w:rFonts w:eastAsia="SimSun;宋体"/>
      <w:lang w:eastAsia="zh-CN"/>
    </w:rPr>
  </w:style>
  <w:style w:type="paragraph" w:styleId="Footer">
    <w:name w:val="Footer"/>
    <w:basedOn w:val="Normal"/>
    <w:pPr/>
    <w:rPr>
      <w:rFonts w:eastAsia="SimSun;宋体"/>
      <w:lang w:eastAsia="zh-CN"/>
    </w:rPr>
  </w:style>
  <w:style w:type="paragraph" w:styleId="Style29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TML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Style30">
    <w:name w:val="Содержимое таблицы"/>
    <w:basedOn w:val="Normal"/>
    <w:qFormat/>
    <w:pPr>
      <w:widowControl w:val="false"/>
      <w:suppressLineNumbers/>
    </w:pPr>
    <w:rPr/>
  </w:style>
  <w:style w:type="paragraph" w:styleId="Style31">
    <w:name w:val="Заголовок таблицы"/>
    <w:basedOn w:val="Style30"/>
    <w:qFormat/>
    <w:pPr>
      <w:suppressLineNumbers/>
      <w:jc w:val="center"/>
    </w:pPr>
    <w:rPr>
      <w:b/>
      <w:bCs/>
    </w:rPr>
  </w:style>
  <w:style w:type="paragraph" w:styleId="Style32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245</TotalTime>
  <Application>LibreOffice/24.2.7.2$Linux_X86_64 LibreOffice_project/420$Build-2</Application>
  <AppVersion>15.0000</AppVersion>
  <Pages>2</Pages>
  <Words>222</Words>
  <Characters>1364</Characters>
  <CharactersWithSpaces>1533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2024-01-10T09:42:00Z</dcterms:created>
  <dc:creator>Ermek_U</dc:creator>
  <dc:description/>
  <dc:language>ru-RU</dc:language>
  <cp:lastModifiedBy/>
  <cp:lastPrinted>2014-06-14T10:20:00Z</cp:lastPrinted>
  <dcterms:modified xsi:type="dcterms:W3CDTF">2026-10-15T09:29:02Z</dcterms:modified>
  <cp:revision>144</cp:revision>
  <dc:subject/>
  <dc:title>Договор № ____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